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FC" w:rsidRPr="001176FC" w:rsidRDefault="001176FC" w:rsidP="001176FC">
      <w:pPr>
        <w:adjustRightInd w:val="0"/>
        <w:snapToGrid w:val="0"/>
        <w:spacing w:beforeLines="50" w:before="180" w:line="360" w:lineRule="atLeast"/>
        <w:rPr>
          <w:rFonts w:eastAsia="標楷體"/>
          <w:b/>
          <w:sz w:val="22"/>
        </w:rPr>
      </w:pPr>
      <w:r w:rsidRPr="001176FC">
        <w:rPr>
          <w:rFonts w:eastAsia="標楷體" w:hint="eastAsia"/>
          <w:b/>
          <w:sz w:val="22"/>
        </w:rPr>
        <w:t>與陳伯之書</w:t>
      </w:r>
    </w:p>
    <w:p w:rsidR="001176FC" w:rsidRPr="007A023C" w:rsidRDefault="001176FC" w:rsidP="001176FC">
      <w:pPr>
        <w:adjustRightInd w:val="0"/>
        <w:snapToGrid w:val="0"/>
        <w:spacing w:line="360" w:lineRule="atLeast"/>
        <w:ind w:firstLineChars="177" w:firstLine="389"/>
        <w:rPr>
          <w:rFonts w:ascii="新細明體"/>
          <w:sz w:val="22"/>
          <w:szCs w:val="22"/>
        </w:rPr>
      </w:pPr>
      <w:r w:rsidRPr="007A023C">
        <w:rPr>
          <w:rFonts w:ascii="新細明體" w:hAnsi="新細明體" w:hint="eastAsia"/>
          <w:sz w:val="22"/>
          <w:szCs w:val="22"/>
        </w:rPr>
        <w:t>閱讀框線內文章後，回答下列問題：</w:t>
      </w:r>
    </w:p>
    <w:p w:rsidR="001176FC" w:rsidRPr="007A023C" w:rsidRDefault="001176FC" w:rsidP="001176FC">
      <w:pPr>
        <w:pStyle w:val="a3"/>
        <w:widowControl/>
        <w:numPr>
          <w:ilvl w:val="0"/>
          <w:numId w:val="4"/>
        </w:numPr>
        <w:autoSpaceDE w:val="0"/>
        <w:autoSpaceDN w:val="0"/>
        <w:adjustRightInd w:val="0"/>
        <w:snapToGrid w:val="0"/>
        <w:spacing w:line="360" w:lineRule="atLeast"/>
        <w:ind w:leftChars="0"/>
        <w:jc w:val="both"/>
        <w:textAlignment w:val="bottom"/>
        <w:rPr>
          <w:rFonts w:ascii="Times New Roman" w:hAnsi="Times New Roman"/>
          <w:color w:val="000000"/>
          <w:kern w:val="0"/>
          <w:sz w:val="22"/>
        </w:rPr>
      </w:pPr>
      <w:r w:rsidRPr="007A023C">
        <w:rPr>
          <w:rFonts w:ascii="Times New Roman" w:hAnsi="Times New Roman" w:hint="eastAsia"/>
          <w:color w:val="000000"/>
          <w:kern w:val="0"/>
          <w:sz w:val="22"/>
        </w:rPr>
        <w:t>作者選用朱</w:t>
      </w:r>
      <w:proofErr w:type="gramStart"/>
      <w:r w:rsidRPr="007A023C">
        <w:rPr>
          <w:rFonts w:ascii="Times New Roman" w:hAnsi="Times New Roman" w:hint="eastAsia"/>
          <w:color w:val="000000"/>
          <w:kern w:val="0"/>
          <w:sz w:val="22"/>
        </w:rPr>
        <w:t>鮪</w:t>
      </w:r>
      <w:proofErr w:type="gramEnd"/>
      <w:r w:rsidRPr="007A023C">
        <w:rPr>
          <w:rFonts w:ascii="Times New Roman" w:hAnsi="Times New Roman" w:hint="eastAsia"/>
          <w:color w:val="000000"/>
          <w:kern w:val="0"/>
          <w:sz w:val="22"/>
        </w:rPr>
        <w:t>與張繡、廉公與吳子這兩組事例，對勸降一事可以發揮什麼作用？</w:t>
      </w:r>
      <w:r w:rsidRPr="007A023C">
        <w:rPr>
          <w:rFonts w:ascii="Times New Roman" w:hAnsi="Times New Roman"/>
          <w:color w:val="000000"/>
          <w:kern w:val="0"/>
          <w:sz w:val="22"/>
        </w:rPr>
        <w:t>(9</w:t>
      </w:r>
      <w:r w:rsidRPr="007A023C">
        <w:rPr>
          <w:rFonts w:ascii="Times New Roman" w:hAnsi="Times New Roman" w:hint="eastAsia"/>
          <w:color w:val="000000"/>
          <w:kern w:val="0"/>
          <w:sz w:val="22"/>
        </w:rPr>
        <w:t>分</w:t>
      </w:r>
      <w:r w:rsidRPr="007A023C">
        <w:rPr>
          <w:rFonts w:ascii="Times New Roman" w:hAnsi="Times New Roman"/>
          <w:color w:val="000000"/>
          <w:kern w:val="0"/>
          <w:sz w:val="22"/>
        </w:rPr>
        <w:t>)</w:t>
      </w:r>
    </w:p>
    <w:p w:rsidR="001176FC" w:rsidRPr="007A023C" w:rsidRDefault="001176FC" w:rsidP="001176FC">
      <w:pPr>
        <w:pStyle w:val="a3"/>
        <w:widowControl/>
        <w:numPr>
          <w:ilvl w:val="0"/>
          <w:numId w:val="4"/>
        </w:numPr>
        <w:autoSpaceDE w:val="0"/>
        <w:autoSpaceDN w:val="0"/>
        <w:adjustRightInd w:val="0"/>
        <w:snapToGrid w:val="0"/>
        <w:spacing w:line="360" w:lineRule="atLeast"/>
        <w:ind w:leftChars="0"/>
        <w:jc w:val="both"/>
        <w:textAlignment w:val="bottom"/>
        <w:rPr>
          <w:rFonts w:ascii="Times New Roman" w:hAnsi="Times New Roman"/>
          <w:color w:val="000000"/>
          <w:kern w:val="0"/>
          <w:sz w:val="22"/>
        </w:rPr>
      </w:pPr>
      <w:r w:rsidRPr="007A023C">
        <w:rPr>
          <w:rFonts w:ascii="Times New Roman" w:hAnsi="Times New Roman" w:hint="eastAsia"/>
          <w:color w:val="000000"/>
          <w:kern w:val="0"/>
          <w:sz w:val="22"/>
        </w:rPr>
        <w:t>作者娓娓道出</w:t>
      </w:r>
      <w:proofErr w:type="gramStart"/>
      <w:r w:rsidRPr="007A023C">
        <w:rPr>
          <w:rFonts w:ascii="Times New Roman" w:hAnsi="Times New Roman" w:hint="eastAsia"/>
          <w:color w:val="000000"/>
          <w:kern w:val="0"/>
          <w:sz w:val="22"/>
        </w:rPr>
        <w:t>降梁必獲</w:t>
      </w:r>
      <w:proofErr w:type="gramEnd"/>
      <w:r w:rsidRPr="007A023C">
        <w:rPr>
          <w:rFonts w:ascii="Times New Roman" w:hAnsi="Times New Roman" w:hint="eastAsia"/>
          <w:color w:val="000000"/>
          <w:kern w:val="0"/>
          <w:sz w:val="22"/>
        </w:rPr>
        <w:t>赦免與信任，為何能取信於陳伯之？</w:t>
      </w:r>
      <w:proofErr w:type="gramStart"/>
      <w:r w:rsidRPr="007A023C">
        <w:rPr>
          <w:rFonts w:ascii="Times New Roman" w:hAnsi="Times New Roman" w:hint="eastAsia"/>
          <w:color w:val="000000"/>
          <w:kern w:val="0"/>
          <w:sz w:val="22"/>
        </w:rPr>
        <w:t>試就材料</w:t>
      </w:r>
      <w:proofErr w:type="gramEnd"/>
      <w:r w:rsidRPr="007A023C">
        <w:rPr>
          <w:rFonts w:ascii="Times New Roman" w:hAnsi="Times New Roman"/>
          <w:color w:val="000000"/>
          <w:kern w:val="0"/>
          <w:sz w:val="22"/>
        </w:rPr>
        <w:t>(</w:t>
      </w:r>
      <w:r w:rsidRPr="007A023C">
        <w:rPr>
          <w:rFonts w:ascii="Times New Roman" w:hAnsi="Times New Roman" w:hint="eastAsia"/>
          <w:color w:val="000000"/>
          <w:kern w:val="0"/>
          <w:sz w:val="22"/>
        </w:rPr>
        <w:t>甲</w:t>
      </w:r>
      <w:r w:rsidRPr="007A023C">
        <w:rPr>
          <w:rFonts w:ascii="Times New Roman" w:hAnsi="Times New Roman"/>
          <w:color w:val="000000"/>
          <w:kern w:val="0"/>
          <w:sz w:val="22"/>
        </w:rPr>
        <w:t>)(</w:t>
      </w:r>
      <w:r w:rsidRPr="007A023C">
        <w:rPr>
          <w:rFonts w:ascii="Times New Roman" w:hAnsi="Times New Roman" w:hint="eastAsia"/>
          <w:color w:val="000000"/>
          <w:kern w:val="0"/>
          <w:sz w:val="22"/>
        </w:rPr>
        <w:t>乙</w:t>
      </w:r>
      <w:r w:rsidRPr="007A023C">
        <w:rPr>
          <w:rFonts w:ascii="Times New Roman" w:hAnsi="Times New Roman"/>
          <w:color w:val="000000"/>
          <w:kern w:val="0"/>
          <w:sz w:val="22"/>
        </w:rPr>
        <w:t>)</w:t>
      </w:r>
      <w:r w:rsidRPr="007A023C">
        <w:rPr>
          <w:rFonts w:ascii="Times New Roman" w:hAnsi="Times New Roman" w:hint="eastAsia"/>
          <w:color w:val="000000"/>
          <w:kern w:val="0"/>
          <w:sz w:val="22"/>
        </w:rPr>
        <w:t>兩段文字加以分析。</w:t>
      </w:r>
      <w:r w:rsidRPr="007A023C">
        <w:rPr>
          <w:rFonts w:ascii="Times New Roman" w:hAnsi="Times New Roman"/>
          <w:color w:val="000000"/>
          <w:kern w:val="0"/>
          <w:sz w:val="22"/>
        </w:rPr>
        <w:t>(9</w:t>
      </w:r>
      <w:r w:rsidRPr="007A023C">
        <w:rPr>
          <w:rFonts w:ascii="Times New Roman" w:hAnsi="Times New Roman" w:hint="eastAsia"/>
          <w:color w:val="000000"/>
          <w:kern w:val="0"/>
          <w:sz w:val="22"/>
        </w:rPr>
        <w:t>分</w:t>
      </w:r>
      <w:r w:rsidRPr="007A023C">
        <w:rPr>
          <w:rFonts w:ascii="Times New Roman" w:hAnsi="Times New Roman"/>
          <w:color w:val="000000"/>
          <w:kern w:val="0"/>
          <w:sz w:val="22"/>
        </w:rPr>
        <w:t>)</w:t>
      </w:r>
    </w:p>
    <w:p w:rsidR="001176FC" w:rsidRPr="007A023C" w:rsidRDefault="001176FC" w:rsidP="001176FC">
      <w:pPr>
        <w:adjustRightInd w:val="0"/>
        <w:snapToGrid w:val="0"/>
        <w:spacing w:line="360" w:lineRule="atLeast"/>
        <w:ind w:firstLineChars="177" w:firstLine="389"/>
        <w:rPr>
          <w:rFonts w:ascii="新細明體" w:hAnsi="新細明體"/>
          <w:sz w:val="22"/>
          <w:szCs w:val="22"/>
        </w:rPr>
      </w:pPr>
      <w:r w:rsidRPr="007A023C">
        <w:rPr>
          <w:rFonts w:ascii="新細明體" w:hAnsi="新細明體" w:hint="eastAsia"/>
          <w:sz w:val="22"/>
          <w:szCs w:val="22"/>
        </w:rPr>
        <w:t>答案必須標明</w:t>
      </w:r>
      <w:r w:rsidRPr="007A023C">
        <w:rPr>
          <w:rFonts w:ascii="新細明體" w:hAnsi="新細明體"/>
          <w:sz w:val="22"/>
          <w:szCs w:val="22"/>
        </w:rPr>
        <w:t>(</w:t>
      </w:r>
      <w:proofErr w:type="gramStart"/>
      <w:r w:rsidRPr="007A023C">
        <w:rPr>
          <w:rFonts w:ascii="新細明體" w:hAnsi="新細明體" w:hint="eastAsia"/>
          <w:sz w:val="22"/>
          <w:szCs w:val="22"/>
        </w:rPr>
        <w:t>一</w:t>
      </w:r>
      <w:proofErr w:type="gramEnd"/>
      <w:r w:rsidRPr="007A023C">
        <w:rPr>
          <w:rFonts w:ascii="新細明體" w:hAnsi="新細明體"/>
          <w:sz w:val="22"/>
          <w:szCs w:val="22"/>
        </w:rPr>
        <w:t>)(</w:t>
      </w:r>
      <w:r w:rsidRPr="007A023C">
        <w:rPr>
          <w:rFonts w:ascii="新細明體" w:hAnsi="新細明體" w:hint="eastAsia"/>
          <w:sz w:val="22"/>
          <w:szCs w:val="22"/>
        </w:rPr>
        <w:t>二</w:t>
      </w:r>
      <w:r w:rsidRPr="007A023C">
        <w:rPr>
          <w:rFonts w:ascii="新細明體" w:hAnsi="新細明體"/>
          <w:sz w:val="22"/>
          <w:szCs w:val="22"/>
        </w:rPr>
        <w:t>)</w:t>
      </w:r>
      <w:r w:rsidRPr="007A023C">
        <w:rPr>
          <w:rFonts w:ascii="新細明體" w:hAnsi="新細明體" w:hint="eastAsia"/>
          <w:sz w:val="22"/>
          <w:szCs w:val="22"/>
        </w:rPr>
        <w:t>分列書寫。</w:t>
      </w:r>
      <w:r w:rsidRPr="007A023C">
        <w:rPr>
          <w:rFonts w:ascii="新細明體" w:hAnsi="新細明體"/>
          <w:sz w:val="22"/>
          <w:szCs w:val="22"/>
        </w:rPr>
        <w:t>(</w:t>
      </w:r>
      <w:proofErr w:type="gramStart"/>
      <w:r w:rsidRPr="007A023C">
        <w:rPr>
          <w:rFonts w:ascii="新細明體" w:hAnsi="新細明體" w:hint="eastAsia"/>
          <w:sz w:val="22"/>
          <w:szCs w:val="22"/>
        </w:rPr>
        <w:t>一</w:t>
      </w:r>
      <w:proofErr w:type="gramEnd"/>
      <w:r w:rsidRPr="007A023C">
        <w:rPr>
          <w:rFonts w:ascii="新細明體" w:hAnsi="新細明體"/>
          <w:sz w:val="22"/>
          <w:szCs w:val="22"/>
        </w:rPr>
        <w:t>)(</w:t>
      </w:r>
      <w:r w:rsidRPr="007A023C">
        <w:rPr>
          <w:rFonts w:ascii="新細明體" w:hAnsi="新細明體" w:hint="eastAsia"/>
          <w:sz w:val="22"/>
          <w:szCs w:val="22"/>
        </w:rPr>
        <w:t>二</w:t>
      </w:r>
      <w:r w:rsidRPr="007A023C">
        <w:rPr>
          <w:rFonts w:ascii="新細明體" w:hAnsi="新細明體"/>
          <w:sz w:val="22"/>
          <w:szCs w:val="22"/>
        </w:rPr>
        <w:t>)</w:t>
      </w:r>
      <w:r w:rsidRPr="007A023C">
        <w:rPr>
          <w:rFonts w:ascii="新細明體" w:hAnsi="新細明體" w:hint="eastAsia"/>
          <w:sz w:val="22"/>
          <w:szCs w:val="22"/>
        </w:rPr>
        <w:t>合計文長限</w:t>
      </w:r>
      <w:r w:rsidRPr="007A023C">
        <w:rPr>
          <w:rFonts w:ascii="新細明體" w:hAnsi="新細明體"/>
          <w:sz w:val="22"/>
          <w:szCs w:val="22"/>
        </w:rPr>
        <w:t>250~300</w:t>
      </w:r>
      <w:r w:rsidRPr="007A023C">
        <w:rPr>
          <w:rFonts w:ascii="新細明體" w:hAnsi="新細明體" w:hint="eastAsia"/>
          <w:sz w:val="22"/>
          <w:szCs w:val="22"/>
        </w:rPr>
        <w:t>字</w:t>
      </w:r>
      <w:r w:rsidRPr="007A023C">
        <w:rPr>
          <w:rFonts w:ascii="新細明體" w:hAnsi="新細明體"/>
          <w:sz w:val="22"/>
          <w:szCs w:val="22"/>
        </w:rPr>
        <w:t>(</w:t>
      </w:r>
      <w:r w:rsidRPr="007A023C">
        <w:rPr>
          <w:rFonts w:ascii="新細明體" w:hAnsi="新細明體" w:hint="eastAsia"/>
          <w:sz w:val="22"/>
          <w:szCs w:val="22"/>
        </w:rPr>
        <w:t>約</w:t>
      </w:r>
      <w:r w:rsidRPr="007A023C">
        <w:rPr>
          <w:rFonts w:ascii="新細明體" w:hAnsi="新細明體"/>
          <w:sz w:val="22"/>
          <w:szCs w:val="22"/>
        </w:rPr>
        <w:t>11~14</w:t>
      </w:r>
      <w:r w:rsidRPr="007A023C">
        <w:rPr>
          <w:rFonts w:ascii="新細明體" w:hAnsi="新細明體" w:hint="eastAsia"/>
          <w:sz w:val="22"/>
          <w:szCs w:val="22"/>
        </w:rPr>
        <w:t>行</w:t>
      </w:r>
      <w:r w:rsidRPr="007A023C">
        <w:rPr>
          <w:rFonts w:ascii="新細明體" w:hAnsi="新細明體"/>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176FC" w:rsidRPr="007A023C" w:rsidTr="004B5DC4">
        <w:tc>
          <w:tcPr>
            <w:tcW w:w="5000" w:type="pct"/>
          </w:tcPr>
          <w:p w:rsidR="001176FC" w:rsidRPr="007A023C" w:rsidRDefault="001176FC" w:rsidP="004B5DC4">
            <w:pPr>
              <w:rPr>
                <w:rFonts w:ascii="標楷體" w:eastAsia="標楷體" w:hAnsi="標楷體"/>
                <w:b/>
                <w:sz w:val="22"/>
              </w:rPr>
            </w:pPr>
            <w:r w:rsidRPr="007A023C">
              <w:rPr>
                <w:rFonts w:ascii="標楷體" w:eastAsia="標楷體" w:hAnsi="標楷體" w:hint="eastAsia"/>
                <w:b/>
                <w:sz w:val="22"/>
                <w:szCs w:val="22"/>
              </w:rPr>
              <w:t>材料</w:t>
            </w:r>
            <w:r w:rsidRPr="007A023C">
              <w:rPr>
                <w:rFonts w:ascii="標楷體" w:eastAsia="標楷體" w:hAnsi="標楷體"/>
                <w:b/>
                <w:sz w:val="22"/>
                <w:szCs w:val="22"/>
              </w:rPr>
              <w:t>(</w:t>
            </w:r>
            <w:r w:rsidRPr="007A023C">
              <w:rPr>
                <w:rFonts w:ascii="標楷體" w:eastAsia="標楷體" w:hAnsi="標楷體" w:hint="eastAsia"/>
                <w:b/>
                <w:sz w:val="22"/>
                <w:szCs w:val="22"/>
              </w:rPr>
              <w:t>甲</w:t>
            </w:r>
            <w:r w:rsidRPr="007A023C">
              <w:rPr>
                <w:rFonts w:ascii="標楷體" w:eastAsia="標楷體" w:hAnsi="標楷體"/>
                <w:b/>
                <w:sz w:val="22"/>
                <w:szCs w:val="22"/>
              </w:rPr>
              <w:t xml:space="preserve">)  </w:t>
            </w:r>
          </w:p>
          <w:p w:rsidR="001176FC" w:rsidRPr="007A023C" w:rsidRDefault="001176FC" w:rsidP="004B5DC4">
            <w:pPr>
              <w:ind w:firstLineChars="193" w:firstLine="425"/>
              <w:rPr>
                <w:rFonts w:ascii="標楷體" w:eastAsia="標楷體" w:hAnsi="標楷體"/>
                <w:sz w:val="22"/>
              </w:rPr>
            </w:pPr>
            <w:proofErr w:type="gramStart"/>
            <w:r w:rsidRPr="007A023C">
              <w:rPr>
                <w:rFonts w:ascii="標楷體" w:eastAsia="標楷體" w:hAnsi="標楷體" w:hint="eastAsia"/>
                <w:sz w:val="22"/>
                <w:szCs w:val="22"/>
              </w:rPr>
              <w:t>聖朝赦</w:t>
            </w:r>
            <w:proofErr w:type="gramEnd"/>
            <w:r w:rsidRPr="007A023C">
              <w:rPr>
                <w:rFonts w:ascii="標楷體" w:eastAsia="標楷體" w:hAnsi="標楷體" w:hint="eastAsia"/>
                <w:sz w:val="22"/>
                <w:szCs w:val="22"/>
              </w:rPr>
              <w:t>罪責功，棄瑕錄用，推赤心於天下，</w:t>
            </w:r>
            <w:proofErr w:type="gramStart"/>
            <w:r w:rsidRPr="007A023C">
              <w:rPr>
                <w:rFonts w:ascii="標楷體" w:eastAsia="標楷體" w:hAnsi="標楷體" w:hint="eastAsia"/>
                <w:sz w:val="22"/>
                <w:szCs w:val="22"/>
              </w:rPr>
              <w:t>安反側於</w:t>
            </w:r>
            <w:proofErr w:type="gramEnd"/>
            <w:r w:rsidRPr="007A023C">
              <w:rPr>
                <w:rFonts w:ascii="標楷體" w:eastAsia="標楷體" w:hAnsi="標楷體" w:hint="eastAsia"/>
                <w:sz w:val="22"/>
                <w:szCs w:val="22"/>
              </w:rPr>
              <w:t>萬物；將軍之所知，不假</w:t>
            </w:r>
            <w:proofErr w:type="gramStart"/>
            <w:r w:rsidRPr="007A023C">
              <w:rPr>
                <w:rFonts w:ascii="標楷體" w:eastAsia="標楷體" w:hAnsi="標楷體" w:hint="eastAsia"/>
                <w:sz w:val="22"/>
                <w:szCs w:val="22"/>
              </w:rPr>
              <w:t>僕</w:t>
            </w:r>
            <w:proofErr w:type="gramEnd"/>
            <w:r w:rsidRPr="007A023C">
              <w:rPr>
                <w:rFonts w:ascii="標楷體" w:eastAsia="標楷體" w:hAnsi="標楷體" w:hint="eastAsia"/>
                <w:sz w:val="22"/>
                <w:szCs w:val="22"/>
              </w:rPr>
              <w:t>一二談也。朱</w:t>
            </w:r>
            <w:proofErr w:type="gramStart"/>
            <w:r w:rsidRPr="007A023C">
              <w:rPr>
                <w:rFonts w:ascii="標楷體" w:eastAsia="標楷體" w:hAnsi="標楷體" w:hint="eastAsia"/>
                <w:sz w:val="22"/>
                <w:szCs w:val="22"/>
              </w:rPr>
              <w:t>鮪涉血於友于</w:t>
            </w:r>
            <w:proofErr w:type="gramEnd"/>
            <w:r w:rsidRPr="007A023C">
              <w:rPr>
                <w:rFonts w:ascii="標楷體" w:eastAsia="標楷體" w:hAnsi="標楷體" w:hint="eastAsia"/>
                <w:sz w:val="22"/>
                <w:szCs w:val="22"/>
              </w:rPr>
              <w:t>，張繡</w:t>
            </w:r>
            <w:proofErr w:type="gramStart"/>
            <w:r w:rsidRPr="007A023C">
              <w:rPr>
                <w:rFonts w:ascii="標楷體" w:eastAsia="標楷體" w:hAnsi="標楷體" w:hint="eastAsia"/>
                <w:sz w:val="22"/>
                <w:szCs w:val="22"/>
              </w:rPr>
              <w:t>剚刃</w:t>
            </w:r>
            <w:proofErr w:type="gramEnd"/>
            <w:r w:rsidRPr="007A023C">
              <w:rPr>
                <w:rFonts w:ascii="標楷體" w:eastAsia="標楷體" w:hAnsi="標楷體" w:hint="eastAsia"/>
                <w:sz w:val="22"/>
                <w:szCs w:val="22"/>
              </w:rPr>
              <w:t>於愛子；漢主不以為</w:t>
            </w:r>
            <w:proofErr w:type="gramStart"/>
            <w:r w:rsidRPr="007A023C">
              <w:rPr>
                <w:rFonts w:ascii="標楷體" w:eastAsia="標楷體" w:hAnsi="標楷體" w:hint="eastAsia"/>
                <w:sz w:val="22"/>
                <w:szCs w:val="22"/>
              </w:rPr>
              <w:t>疑</w:t>
            </w:r>
            <w:proofErr w:type="gramEnd"/>
            <w:r w:rsidRPr="007A023C">
              <w:rPr>
                <w:rFonts w:ascii="標楷體" w:eastAsia="標楷體" w:hAnsi="標楷體" w:hint="eastAsia"/>
                <w:sz w:val="22"/>
                <w:szCs w:val="22"/>
              </w:rPr>
              <w:t>，魏</w:t>
            </w:r>
            <w:proofErr w:type="gramStart"/>
            <w:r w:rsidRPr="007A023C">
              <w:rPr>
                <w:rFonts w:ascii="標楷體" w:eastAsia="標楷體" w:hAnsi="標楷體" w:hint="eastAsia"/>
                <w:sz w:val="22"/>
                <w:szCs w:val="22"/>
              </w:rPr>
              <w:t>君待之若舊</w:t>
            </w:r>
            <w:proofErr w:type="gramEnd"/>
            <w:r w:rsidRPr="007A023C">
              <w:rPr>
                <w:rFonts w:ascii="標楷體" w:eastAsia="標楷體" w:hAnsi="標楷體" w:hint="eastAsia"/>
                <w:sz w:val="22"/>
                <w:szCs w:val="22"/>
              </w:rPr>
              <w:t>。</w:t>
            </w:r>
            <w:proofErr w:type="gramStart"/>
            <w:r w:rsidRPr="007A023C">
              <w:rPr>
                <w:rFonts w:ascii="標楷體" w:eastAsia="標楷體" w:hAnsi="標楷體" w:hint="eastAsia"/>
                <w:sz w:val="22"/>
                <w:szCs w:val="22"/>
              </w:rPr>
              <w:t>況</w:t>
            </w:r>
            <w:proofErr w:type="gramEnd"/>
            <w:r w:rsidRPr="007A023C">
              <w:rPr>
                <w:rFonts w:ascii="標楷體" w:eastAsia="標楷體" w:hAnsi="標楷體" w:hint="eastAsia"/>
                <w:sz w:val="22"/>
                <w:szCs w:val="22"/>
              </w:rPr>
              <w:t>將軍無昔人之罪，</w:t>
            </w:r>
            <w:proofErr w:type="gramStart"/>
            <w:r w:rsidRPr="007A023C">
              <w:rPr>
                <w:rFonts w:ascii="標楷體" w:eastAsia="標楷體" w:hAnsi="標楷體" w:hint="eastAsia"/>
                <w:sz w:val="22"/>
                <w:szCs w:val="22"/>
              </w:rPr>
              <w:t>而勳重</w:t>
            </w:r>
            <w:proofErr w:type="gramEnd"/>
            <w:r w:rsidRPr="007A023C">
              <w:rPr>
                <w:rFonts w:ascii="標楷體" w:eastAsia="標楷體" w:hAnsi="標楷體" w:hint="eastAsia"/>
                <w:sz w:val="22"/>
                <w:szCs w:val="22"/>
              </w:rPr>
              <w:t>於當世。夫迷途知返，</w:t>
            </w:r>
            <w:proofErr w:type="gramStart"/>
            <w:r w:rsidRPr="007A023C">
              <w:rPr>
                <w:rFonts w:ascii="標楷體" w:eastAsia="標楷體" w:hAnsi="標楷體" w:hint="eastAsia"/>
                <w:sz w:val="22"/>
                <w:szCs w:val="22"/>
              </w:rPr>
              <w:t>往哲是與</w:t>
            </w:r>
            <w:proofErr w:type="gramEnd"/>
            <w:r w:rsidRPr="007A023C">
              <w:rPr>
                <w:rFonts w:ascii="標楷體" w:eastAsia="標楷體" w:hAnsi="標楷體" w:hint="eastAsia"/>
                <w:sz w:val="22"/>
                <w:szCs w:val="22"/>
              </w:rPr>
              <w:t>；不遠而復，先典</w:t>
            </w:r>
            <w:proofErr w:type="gramStart"/>
            <w:r w:rsidRPr="007A023C">
              <w:rPr>
                <w:rFonts w:ascii="標楷體" w:eastAsia="標楷體" w:hAnsi="標楷體" w:hint="eastAsia"/>
                <w:sz w:val="22"/>
                <w:szCs w:val="22"/>
              </w:rPr>
              <w:t>攸</w:t>
            </w:r>
            <w:proofErr w:type="gramEnd"/>
            <w:r w:rsidRPr="007A023C">
              <w:rPr>
                <w:rFonts w:ascii="標楷體" w:eastAsia="標楷體" w:hAnsi="標楷體" w:hint="eastAsia"/>
                <w:sz w:val="22"/>
                <w:szCs w:val="22"/>
              </w:rPr>
              <w:t>高。主上</w:t>
            </w:r>
            <w:proofErr w:type="gramStart"/>
            <w:r w:rsidRPr="007A023C">
              <w:rPr>
                <w:rFonts w:ascii="標楷體" w:eastAsia="標楷體" w:hAnsi="標楷體" w:hint="eastAsia"/>
                <w:sz w:val="22"/>
                <w:szCs w:val="22"/>
              </w:rPr>
              <w:t>屈法申恩，吞舟是</w:t>
            </w:r>
            <w:proofErr w:type="gramEnd"/>
            <w:r w:rsidRPr="007A023C">
              <w:rPr>
                <w:rFonts w:ascii="標楷體" w:eastAsia="標楷體" w:hAnsi="標楷體" w:hint="eastAsia"/>
                <w:sz w:val="22"/>
                <w:szCs w:val="22"/>
              </w:rPr>
              <w:t>漏。將軍松柏不</w:t>
            </w:r>
            <w:proofErr w:type="gramStart"/>
            <w:r w:rsidRPr="007A023C">
              <w:rPr>
                <w:rFonts w:ascii="標楷體" w:eastAsia="標楷體" w:hAnsi="標楷體" w:hint="eastAsia"/>
                <w:sz w:val="22"/>
                <w:szCs w:val="22"/>
              </w:rPr>
              <w:t>翦</w:t>
            </w:r>
            <w:proofErr w:type="gramEnd"/>
            <w:r w:rsidRPr="007A023C">
              <w:rPr>
                <w:rFonts w:ascii="標楷體" w:eastAsia="標楷體" w:hAnsi="標楷體" w:hint="eastAsia"/>
                <w:sz w:val="22"/>
                <w:szCs w:val="22"/>
              </w:rPr>
              <w:t>，親戚安居，</w:t>
            </w:r>
            <w:proofErr w:type="gramStart"/>
            <w:r w:rsidRPr="007A023C">
              <w:rPr>
                <w:rFonts w:ascii="標楷體" w:eastAsia="標楷體" w:hAnsi="標楷體" w:hint="eastAsia"/>
                <w:sz w:val="22"/>
                <w:szCs w:val="22"/>
              </w:rPr>
              <w:t>高臺未傾</w:t>
            </w:r>
            <w:proofErr w:type="gramEnd"/>
            <w:r w:rsidRPr="007A023C">
              <w:rPr>
                <w:rFonts w:ascii="標楷體" w:eastAsia="標楷體" w:hAnsi="標楷體" w:hint="eastAsia"/>
                <w:sz w:val="22"/>
                <w:szCs w:val="22"/>
              </w:rPr>
              <w:t>，愛妾尚在。</w:t>
            </w:r>
            <w:proofErr w:type="gramStart"/>
            <w:r w:rsidRPr="007A023C">
              <w:rPr>
                <w:rFonts w:ascii="標楷體" w:eastAsia="標楷體" w:hAnsi="標楷體" w:hint="eastAsia"/>
                <w:sz w:val="22"/>
                <w:szCs w:val="22"/>
              </w:rPr>
              <w:t>悠悠爾</w:t>
            </w:r>
            <w:proofErr w:type="gramEnd"/>
            <w:r w:rsidRPr="007A023C">
              <w:rPr>
                <w:rFonts w:ascii="標楷體" w:eastAsia="標楷體" w:hAnsi="標楷體" w:hint="eastAsia"/>
                <w:sz w:val="22"/>
                <w:szCs w:val="22"/>
              </w:rPr>
              <w:t>心，亦何可言。</w:t>
            </w:r>
          </w:p>
          <w:p w:rsidR="001176FC" w:rsidRPr="007A023C" w:rsidRDefault="001176FC" w:rsidP="001176FC">
            <w:pPr>
              <w:spacing w:beforeLines="50" w:before="180"/>
              <w:rPr>
                <w:rFonts w:ascii="標楷體" w:eastAsia="標楷體" w:hAnsi="標楷體"/>
                <w:b/>
                <w:sz w:val="22"/>
              </w:rPr>
            </w:pPr>
            <w:r w:rsidRPr="007A023C">
              <w:rPr>
                <w:rFonts w:ascii="標楷體" w:eastAsia="標楷體" w:hAnsi="標楷體" w:hint="eastAsia"/>
                <w:b/>
                <w:sz w:val="22"/>
                <w:szCs w:val="22"/>
              </w:rPr>
              <w:t>材料</w:t>
            </w:r>
            <w:r w:rsidRPr="007A023C">
              <w:rPr>
                <w:rFonts w:ascii="標楷體" w:eastAsia="標楷體" w:hAnsi="標楷體"/>
                <w:b/>
                <w:sz w:val="22"/>
                <w:szCs w:val="22"/>
              </w:rPr>
              <w:t>(</w:t>
            </w:r>
            <w:r w:rsidRPr="007A023C">
              <w:rPr>
                <w:rFonts w:ascii="標楷體" w:eastAsia="標楷體" w:hAnsi="標楷體" w:hint="eastAsia"/>
                <w:b/>
                <w:sz w:val="22"/>
                <w:szCs w:val="22"/>
              </w:rPr>
              <w:t>乙</w:t>
            </w:r>
            <w:r w:rsidRPr="007A023C">
              <w:rPr>
                <w:rFonts w:ascii="標楷體" w:eastAsia="標楷體" w:hAnsi="標楷體"/>
                <w:b/>
                <w:sz w:val="22"/>
                <w:szCs w:val="22"/>
              </w:rPr>
              <w:t xml:space="preserve">) </w:t>
            </w:r>
          </w:p>
          <w:p w:rsidR="001176FC" w:rsidRPr="007A023C" w:rsidRDefault="001176FC" w:rsidP="004B5DC4">
            <w:pPr>
              <w:ind w:firstLineChars="193" w:firstLine="425"/>
              <w:rPr>
                <w:rFonts w:eastAsia="標楷體"/>
                <w:spacing w:val="20"/>
                <w:sz w:val="22"/>
              </w:rPr>
            </w:pPr>
            <w:r w:rsidRPr="007A023C">
              <w:rPr>
                <w:rFonts w:ascii="標楷體" w:eastAsia="標楷體" w:hAnsi="標楷體" w:hint="eastAsia"/>
                <w:sz w:val="22"/>
                <w:szCs w:val="22"/>
              </w:rPr>
              <w:t>暮春三月，</w:t>
            </w:r>
            <w:proofErr w:type="gramStart"/>
            <w:r w:rsidRPr="007A023C">
              <w:rPr>
                <w:rFonts w:ascii="標楷體" w:eastAsia="標楷體" w:hAnsi="標楷體" w:hint="eastAsia"/>
                <w:sz w:val="22"/>
                <w:szCs w:val="22"/>
              </w:rPr>
              <w:t>江南草</w:t>
            </w:r>
            <w:proofErr w:type="gramEnd"/>
            <w:r w:rsidRPr="007A023C">
              <w:rPr>
                <w:rFonts w:ascii="標楷體" w:eastAsia="標楷體" w:hAnsi="標楷體" w:hint="eastAsia"/>
                <w:sz w:val="22"/>
                <w:szCs w:val="22"/>
              </w:rPr>
              <w:t>長，雜花生樹，群鶯亂飛。見故國</w:t>
            </w:r>
            <w:proofErr w:type="gramStart"/>
            <w:r w:rsidRPr="007A023C">
              <w:rPr>
                <w:rFonts w:ascii="標楷體" w:eastAsia="標楷體" w:hAnsi="標楷體" w:hint="eastAsia"/>
                <w:sz w:val="22"/>
                <w:szCs w:val="22"/>
              </w:rPr>
              <w:t>之旗鼓</w:t>
            </w:r>
            <w:proofErr w:type="gramEnd"/>
            <w:r w:rsidRPr="007A023C">
              <w:rPr>
                <w:rFonts w:ascii="標楷體" w:eastAsia="標楷體" w:hAnsi="標楷體" w:hint="eastAsia"/>
                <w:sz w:val="22"/>
                <w:szCs w:val="22"/>
              </w:rPr>
              <w:t>，感生平於</w:t>
            </w:r>
            <w:proofErr w:type="gramStart"/>
            <w:r w:rsidRPr="007A023C">
              <w:rPr>
                <w:rFonts w:ascii="標楷體" w:eastAsia="標楷體" w:hAnsi="標楷體" w:hint="eastAsia"/>
                <w:sz w:val="22"/>
                <w:szCs w:val="22"/>
              </w:rPr>
              <w:t>疇</w:t>
            </w:r>
            <w:proofErr w:type="gramEnd"/>
            <w:r w:rsidRPr="007A023C">
              <w:rPr>
                <w:rFonts w:ascii="標楷體" w:eastAsia="標楷體" w:hAnsi="標楷體" w:hint="eastAsia"/>
                <w:sz w:val="22"/>
                <w:szCs w:val="22"/>
              </w:rPr>
              <w:t>日；</w:t>
            </w:r>
            <w:proofErr w:type="gramStart"/>
            <w:r w:rsidRPr="007A023C">
              <w:rPr>
                <w:rFonts w:ascii="標楷體" w:eastAsia="標楷體" w:hAnsi="標楷體" w:hint="eastAsia"/>
                <w:sz w:val="22"/>
                <w:szCs w:val="22"/>
              </w:rPr>
              <w:t>撫弦登陴</w:t>
            </w:r>
            <w:proofErr w:type="gramEnd"/>
            <w:r w:rsidRPr="007A023C">
              <w:rPr>
                <w:rFonts w:ascii="標楷體" w:eastAsia="標楷體" w:hAnsi="標楷體" w:hint="eastAsia"/>
                <w:sz w:val="22"/>
                <w:szCs w:val="22"/>
              </w:rPr>
              <w:t>，豈不</w:t>
            </w:r>
            <w:proofErr w:type="gramStart"/>
            <w:r w:rsidRPr="007A023C">
              <w:rPr>
                <w:rFonts w:ascii="標楷體" w:eastAsia="標楷體" w:hAnsi="標楷體" w:hint="eastAsia"/>
                <w:sz w:val="22"/>
                <w:szCs w:val="22"/>
              </w:rPr>
              <w:t>愴悢</w:t>
            </w:r>
            <w:proofErr w:type="gramEnd"/>
            <w:r w:rsidRPr="007A023C">
              <w:rPr>
                <w:rFonts w:ascii="標楷體" w:eastAsia="標楷體" w:hAnsi="標楷體" w:hint="eastAsia"/>
                <w:sz w:val="22"/>
                <w:szCs w:val="22"/>
              </w:rPr>
              <w:t>。所以廉公之</w:t>
            </w:r>
            <w:proofErr w:type="gramStart"/>
            <w:r w:rsidRPr="007A023C">
              <w:rPr>
                <w:rFonts w:ascii="標楷體" w:eastAsia="標楷體" w:hAnsi="標楷體" w:hint="eastAsia"/>
                <w:sz w:val="22"/>
                <w:szCs w:val="22"/>
              </w:rPr>
              <w:t>思趙將</w:t>
            </w:r>
            <w:proofErr w:type="gramEnd"/>
            <w:r w:rsidRPr="007A023C">
              <w:rPr>
                <w:rFonts w:ascii="標楷體" w:eastAsia="標楷體" w:hAnsi="標楷體" w:hint="eastAsia"/>
                <w:sz w:val="22"/>
                <w:szCs w:val="22"/>
              </w:rPr>
              <w:t>，吳子之</w:t>
            </w:r>
            <w:proofErr w:type="gramStart"/>
            <w:r w:rsidRPr="007A023C">
              <w:rPr>
                <w:rFonts w:ascii="標楷體" w:eastAsia="標楷體" w:hAnsi="標楷體" w:hint="eastAsia"/>
                <w:sz w:val="22"/>
                <w:szCs w:val="22"/>
              </w:rPr>
              <w:t>泣</w:t>
            </w:r>
            <w:proofErr w:type="gramEnd"/>
            <w:r w:rsidRPr="007A023C">
              <w:rPr>
                <w:rFonts w:ascii="標楷體" w:eastAsia="標楷體" w:hAnsi="標楷體" w:hint="eastAsia"/>
                <w:sz w:val="22"/>
                <w:szCs w:val="22"/>
              </w:rPr>
              <w:t>西河，人</w:t>
            </w:r>
            <w:proofErr w:type="gramStart"/>
            <w:r w:rsidRPr="007A023C">
              <w:rPr>
                <w:rFonts w:ascii="標楷體" w:eastAsia="標楷體" w:hAnsi="標楷體" w:hint="eastAsia"/>
                <w:sz w:val="22"/>
                <w:szCs w:val="22"/>
              </w:rPr>
              <w:t>之情也</w:t>
            </w:r>
            <w:proofErr w:type="gramEnd"/>
            <w:r w:rsidRPr="007A023C">
              <w:rPr>
                <w:rFonts w:ascii="標楷體" w:eastAsia="標楷體" w:hAnsi="標楷體" w:hint="eastAsia"/>
                <w:sz w:val="22"/>
                <w:szCs w:val="22"/>
              </w:rPr>
              <w:t>，將軍獨</w:t>
            </w:r>
            <w:proofErr w:type="gramStart"/>
            <w:r w:rsidRPr="007A023C">
              <w:rPr>
                <w:rFonts w:ascii="標楷體" w:eastAsia="標楷體" w:hAnsi="標楷體" w:hint="eastAsia"/>
                <w:sz w:val="22"/>
                <w:szCs w:val="22"/>
              </w:rPr>
              <w:t>無情哉</w:t>
            </w:r>
            <w:proofErr w:type="gramEnd"/>
            <w:r w:rsidRPr="007A023C">
              <w:rPr>
                <w:rFonts w:ascii="標楷體" w:eastAsia="標楷體" w:hAnsi="標楷體" w:hint="eastAsia"/>
                <w:sz w:val="22"/>
                <w:szCs w:val="22"/>
              </w:rPr>
              <w:t>！想早</w:t>
            </w:r>
            <w:proofErr w:type="gramStart"/>
            <w:r w:rsidRPr="007A023C">
              <w:rPr>
                <w:rFonts w:ascii="標楷體" w:eastAsia="標楷體" w:hAnsi="標楷體" w:hint="eastAsia"/>
                <w:sz w:val="22"/>
                <w:szCs w:val="22"/>
              </w:rPr>
              <w:t>勵</w:t>
            </w:r>
            <w:proofErr w:type="gramEnd"/>
            <w:r w:rsidRPr="007A023C">
              <w:rPr>
                <w:rFonts w:ascii="標楷體" w:eastAsia="標楷體" w:hAnsi="標楷體" w:hint="eastAsia"/>
                <w:sz w:val="22"/>
                <w:szCs w:val="22"/>
              </w:rPr>
              <w:t>良</w:t>
            </w:r>
            <w:proofErr w:type="gramStart"/>
            <w:r w:rsidRPr="007A023C">
              <w:rPr>
                <w:rFonts w:ascii="標楷體" w:eastAsia="標楷體" w:hAnsi="標楷體" w:hint="eastAsia"/>
                <w:sz w:val="22"/>
                <w:szCs w:val="22"/>
              </w:rPr>
              <w:t>規</w:t>
            </w:r>
            <w:proofErr w:type="gramEnd"/>
            <w:r w:rsidRPr="007A023C">
              <w:rPr>
                <w:rFonts w:ascii="標楷體" w:eastAsia="標楷體" w:hAnsi="標楷體" w:hint="eastAsia"/>
                <w:sz w:val="22"/>
                <w:szCs w:val="22"/>
              </w:rPr>
              <w:t>，自求多福。</w:t>
            </w:r>
            <w:r w:rsidRPr="007A023C">
              <w:rPr>
                <w:rFonts w:ascii="新細明體" w:hAnsi="新細明體"/>
                <w:color w:val="000000"/>
                <w:sz w:val="22"/>
                <w:szCs w:val="22"/>
              </w:rPr>
              <w:t>(</w:t>
            </w:r>
            <w:proofErr w:type="gramStart"/>
            <w:r w:rsidRPr="007A023C">
              <w:rPr>
                <w:rFonts w:ascii="新細明體" w:hAnsi="新細明體" w:hint="eastAsia"/>
                <w:color w:val="000000"/>
                <w:sz w:val="22"/>
                <w:szCs w:val="22"/>
              </w:rPr>
              <w:t>丘遲〈與陳伯之書〉</w:t>
            </w:r>
            <w:proofErr w:type="gramEnd"/>
            <w:r w:rsidRPr="007A023C">
              <w:rPr>
                <w:rFonts w:ascii="新細明體" w:hAnsi="新細明體"/>
                <w:color w:val="000000"/>
                <w:sz w:val="22"/>
                <w:szCs w:val="22"/>
              </w:rPr>
              <w:t>)</w:t>
            </w:r>
          </w:p>
        </w:tc>
      </w:tr>
    </w:tbl>
    <w:p w:rsidR="001176FC" w:rsidRPr="008838E9" w:rsidRDefault="001176FC" w:rsidP="001176FC">
      <w:pPr>
        <w:tabs>
          <w:tab w:val="left" w:pos="660"/>
        </w:tabs>
        <w:adjustRightInd w:val="0"/>
        <w:snapToGrid w:val="0"/>
        <w:spacing w:line="360" w:lineRule="atLeast"/>
        <w:jc w:val="both"/>
        <w:rPr>
          <w:sz w:val="22"/>
        </w:rPr>
      </w:pPr>
      <w:r>
        <w:rPr>
          <w:rFonts w:ascii="新細明體" w:hAnsi="新細明體" w:hint="eastAsia"/>
          <w:color w:val="FF0000"/>
          <w:sz w:val="22"/>
        </w:rPr>
        <w:t>【參考答案】</w:t>
      </w:r>
    </w:p>
    <w:p w:rsidR="001176FC" w:rsidRPr="009907C1" w:rsidRDefault="001176FC" w:rsidP="001176FC">
      <w:pPr>
        <w:pStyle w:val="a3"/>
        <w:numPr>
          <w:ilvl w:val="0"/>
          <w:numId w:val="3"/>
        </w:numPr>
        <w:adjustRightInd w:val="0"/>
        <w:snapToGrid w:val="0"/>
        <w:spacing w:line="360" w:lineRule="atLeast"/>
        <w:ind w:leftChars="0" w:left="567" w:hanging="447"/>
        <w:jc w:val="both"/>
        <w:rPr>
          <w:rFonts w:ascii="Times New Roman" w:hAnsi="Times New Roman"/>
          <w:color w:val="FF0000"/>
          <w:sz w:val="22"/>
        </w:rPr>
      </w:pPr>
      <w:r w:rsidRPr="009907C1">
        <w:rPr>
          <w:rFonts w:ascii="Times New Roman" w:hAnsi="Times New Roman" w:hint="eastAsia"/>
          <w:color w:val="FF0000"/>
          <w:sz w:val="22"/>
        </w:rPr>
        <w:t>朱</w:t>
      </w:r>
      <w:proofErr w:type="gramStart"/>
      <w:r w:rsidRPr="009907C1">
        <w:rPr>
          <w:rFonts w:ascii="Times New Roman" w:hAnsi="Times New Roman" w:hint="eastAsia"/>
          <w:color w:val="FF0000"/>
          <w:sz w:val="22"/>
        </w:rPr>
        <w:t>鮪</w:t>
      </w:r>
      <w:proofErr w:type="gramEnd"/>
      <w:r w:rsidRPr="009907C1">
        <w:rPr>
          <w:rFonts w:ascii="Times New Roman" w:hAnsi="Times New Roman" w:hint="eastAsia"/>
          <w:color w:val="FF0000"/>
          <w:sz w:val="22"/>
        </w:rPr>
        <w:t>、</w:t>
      </w:r>
      <w:r w:rsidRPr="009907C1">
        <w:rPr>
          <w:rFonts w:ascii="新細明體" w:hAnsi="新細明體" w:hint="eastAsia"/>
          <w:color w:val="FF0000"/>
          <w:sz w:val="22"/>
        </w:rPr>
        <w:t>張繡分別</w:t>
      </w:r>
      <w:r w:rsidRPr="009907C1">
        <w:rPr>
          <w:rFonts w:ascii="Times New Roman" w:hAnsi="Times New Roman" w:hint="eastAsia"/>
          <w:color w:val="FF0000"/>
          <w:sz w:val="22"/>
        </w:rPr>
        <w:t>與劉秀、</w:t>
      </w:r>
      <w:r w:rsidRPr="009907C1">
        <w:rPr>
          <w:rFonts w:ascii="新細明體" w:hAnsi="新細明體" w:hint="eastAsia"/>
          <w:color w:val="FF0000"/>
          <w:sz w:val="22"/>
        </w:rPr>
        <w:t>曹操</w:t>
      </w:r>
      <w:r w:rsidRPr="009907C1">
        <w:rPr>
          <w:rFonts w:ascii="Times New Roman" w:hAnsi="Times New Roman" w:hint="eastAsia"/>
          <w:color w:val="FF0000"/>
          <w:sz w:val="22"/>
        </w:rPr>
        <w:t>有</w:t>
      </w:r>
      <w:proofErr w:type="gramStart"/>
      <w:r w:rsidRPr="009907C1">
        <w:rPr>
          <w:rFonts w:ascii="Times New Roman" w:hAnsi="Times New Roman" w:hint="eastAsia"/>
          <w:color w:val="FF0000"/>
          <w:sz w:val="22"/>
        </w:rPr>
        <w:t>弒</w:t>
      </w:r>
      <w:proofErr w:type="gramEnd"/>
      <w:r w:rsidRPr="009907C1">
        <w:rPr>
          <w:rFonts w:ascii="Times New Roman" w:hAnsi="Times New Roman" w:hint="eastAsia"/>
          <w:color w:val="FF0000"/>
          <w:sz w:val="22"/>
        </w:rPr>
        <w:t>親之仇</w:t>
      </w:r>
      <w:r w:rsidRPr="009907C1">
        <w:rPr>
          <w:rFonts w:ascii="新細明體" w:hAnsi="新細明體" w:hint="eastAsia"/>
          <w:color w:val="FF0000"/>
          <w:sz w:val="22"/>
        </w:rPr>
        <w:t>，然而日後兩位君王都能不計舊怨，予以重用。作者藉由這組事例消除陳伯之的疑慮：陳</w:t>
      </w:r>
      <w:proofErr w:type="gramStart"/>
      <w:r w:rsidRPr="009907C1">
        <w:rPr>
          <w:rFonts w:ascii="新細明體" w:hAnsi="新細明體" w:hint="eastAsia"/>
          <w:color w:val="FF0000"/>
          <w:sz w:val="22"/>
        </w:rPr>
        <w:t>並無朱</w:t>
      </w:r>
      <w:proofErr w:type="gramEnd"/>
      <w:r w:rsidRPr="009907C1">
        <w:rPr>
          <w:rFonts w:ascii="新細明體" w:hAnsi="新細明體" w:hint="eastAsia"/>
          <w:color w:val="FF0000"/>
          <w:sz w:val="22"/>
        </w:rPr>
        <w:t>、張二人的罪行，</w:t>
      </w:r>
      <w:proofErr w:type="gramStart"/>
      <w:r w:rsidRPr="009907C1">
        <w:rPr>
          <w:rFonts w:ascii="新細明體" w:hAnsi="新細明體" w:hint="eastAsia"/>
          <w:color w:val="FF0000"/>
          <w:sz w:val="22"/>
        </w:rPr>
        <w:t>若棄魏</w:t>
      </w:r>
      <w:proofErr w:type="gramEnd"/>
      <w:r w:rsidRPr="009907C1">
        <w:rPr>
          <w:rFonts w:ascii="新細明體" w:hAnsi="新細明體" w:hint="eastAsia"/>
          <w:color w:val="FF0000"/>
          <w:sz w:val="22"/>
        </w:rPr>
        <w:t>來歸，</w:t>
      </w:r>
      <w:proofErr w:type="gramStart"/>
      <w:r w:rsidRPr="009907C1">
        <w:rPr>
          <w:rFonts w:ascii="新細明體" w:hAnsi="新細明體" w:hint="eastAsia"/>
          <w:color w:val="FF0000"/>
          <w:sz w:val="22"/>
        </w:rPr>
        <w:t>必獲梁</w:t>
      </w:r>
      <w:proofErr w:type="gramEnd"/>
      <w:r w:rsidRPr="009907C1">
        <w:rPr>
          <w:rFonts w:ascii="新細明體" w:hAnsi="新細明體" w:hint="eastAsia"/>
          <w:color w:val="FF0000"/>
          <w:sz w:val="22"/>
        </w:rPr>
        <w:t>武帝寬</w:t>
      </w:r>
      <w:proofErr w:type="gramStart"/>
      <w:r w:rsidRPr="009907C1">
        <w:rPr>
          <w:rFonts w:ascii="新細明體" w:hAnsi="新細明體" w:hint="eastAsia"/>
          <w:color w:val="FF0000"/>
          <w:sz w:val="22"/>
        </w:rPr>
        <w:t>宥</w:t>
      </w:r>
      <w:proofErr w:type="gramEnd"/>
      <w:r w:rsidRPr="009907C1">
        <w:rPr>
          <w:rFonts w:ascii="Times New Roman" w:hAnsi="Times New Roman" w:hint="eastAsia"/>
          <w:color w:val="FF0000"/>
          <w:sz w:val="22"/>
        </w:rPr>
        <w:t>。</w:t>
      </w:r>
      <w:proofErr w:type="gramStart"/>
      <w:r w:rsidRPr="009907C1">
        <w:rPr>
          <w:rFonts w:ascii="Times New Roman" w:hAnsi="Times New Roman" w:hint="eastAsia"/>
          <w:color w:val="FF0000"/>
          <w:sz w:val="22"/>
        </w:rPr>
        <w:t>此外，</w:t>
      </w:r>
      <w:proofErr w:type="gramEnd"/>
      <w:r w:rsidRPr="009907C1">
        <w:rPr>
          <w:rFonts w:ascii="Times New Roman" w:hAnsi="Times New Roman" w:hint="eastAsia"/>
          <w:color w:val="FF0000"/>
          <w:sz w:val="22"/>
        </w:rPr>
        <w:t>作者選用廉頗與吳起這兩位用兵如神的名將昔日滯留異地尚且思念故鄉的例子，期</w:t>
      </w:r>
      <w:proofErr w:type="gramStart"/>
      <w:r w:rsidRPr="009907C1">
        <w:rPr>
          <w:rFonts w:ascii="Times New Roman" w:hAnsi="Times New Roman" w:hint="eastAsia"/>
          <w:color w:val="FF0000"/>
          <w:sz w:val="22"/>
        </w:rPr>
        <w:t>勉</w:t>
      </w:r>
      <w:proofErr w:type="gramEnd"/>
      <w:r w:rsidRPr="009907C1">
        <w:rPr>
          <w:rFonts w:ascii="Times New Roman" w:hAnsi="Times New Roman" w:hint="eastAsia"/>
          <w:color w:val="FF0000"/>
          <w:sz w:val="22"/>
        </w:rPr>
        <w:t>陳伯之若</w:t>
      </w:r>
      <w:proofErr w:type="gramStart"/>
      <w:r w:rsidRPr="009907C1">
        <w:rPr>
          <w:rFonts w:ascii="Times New Roman" w:hAnsi="Times New Roman" w:hint="eastAsia"/>
          <w:color w:val="FF0000"/>
          <w:sz w:val="22"/>
        </w:rPr>
        <w:t>真棄魏</w:t>
      </w:r>
      <w:proofErr w:type="gramEnd"/>
      <w:r w:rsidRPr="009907C1">
        <w:rPr>
          <w:rFonts w:ascii="Times New Roman" w:hAnsi="Times New Roman" w:hint="eastAsia"/>
          <w:color w:val="FF0000"/>
          <w:sz w:val="22"/>
        </w:rPr>
        <w:t>來歸，實屬人之常情。</w:t>
      </w:r>
    </w:p>
    <w:p w:rsidR="001176FC" w:rsidRPr="009907C1" w:rsidRDefault="001176FC" w:rsidP="001176FC">
      <w:pPr>
        <w:pStyle w:val="a3"/>
        <w:numPr>
          <w:ilvl w:val="0"/>
          <w:numId w:val="3"/>
        </w:numPr>
        <w:ind w:leftChars="0" w:left="567" w:hanging="447"/>
        <w:rPr>
          <w:rFonts w:ascii="新細明體"/>
          <w:color w:val="FF0000"/>
          <w:sz w:val="22"/>
        </w:rPr>
      </w:pPr>
    </w:p>
    <w:p w:rsidR="001176FC" w:rsidRPr="009907C1" w:rsidRDefault="001176FC" w:rsidP="001176FC">
      <w:pPr>
        <w:pStyle w:val="a3"/>
        <w:numPr>
          <w:ilvl w:val="0"/>
          <w:numId w:val="2"/>
        </w:numPr>
        <w:ind w:leftChars="0" w:left="709" w:hanging="229"/>
        <w:rPr>
          <w:rFonts w:ascii="新細明體" w:hAnsi="新細明體"/>
          <w:color w:val="FF0000"/>
          <w:sz w:val="22"/>
        </w:rPr>
      </w:pPr>
      <w:r w:rsidRPr="009907C1">
        <w:rPr>
          <w:rFonts w:ascii="新細明體" w:hAnsi="新細明體" w:hint="eastAsia"/>
          <w:color w:val="FF0000"/>
          <w:sz w:val="22"/>
        </w:rPr>
        <w:t>申</w:t>
      </w:r>
      <w:proofErr w:type="gramStart"/>
      <w:r w:rsidRPr="009907C1">
        <w:rPr>
          <w:rFonts w:ascii="新細明體" w:hAnsi="新細明體" w:hint="eastAsia"/>
          <w:color w:val="FF0000"/>
          <w:sz w:val="22"/>
        </w:rPr>
        <w:t>之以恩</w:t>
      </w:r>
      <w:proofErr w:type="gramEnd"/>
      <w:r w:rsidRPr="009907C1">
        <w:rPr>
          <w:rFonts w:ascii="新細明體" w:hAnsi="新細明體" w:hint="eastAsia"/>
          <w:color w:val="FF0000"/>
          <w:sz w:val="22"/>
        </w:rPr>
        <w:t>：「</w:t>
      </w:r>
      <w:proofErr w:type="gramStart"/>
      <w:r w:rsidRPr="009907C1">
        <w:rPr>
          <w:rFonts w:ascii="新細明體" w:hAnsi="新細明體" w:hint="eastAsia"/>
          <w:color w:val="FF0000"/>
          <w:sz w:val="22"/>
        </w:rPr>
        <w:t>聖朝赦</w:t>
      </w:r>
      <w:proofErr w:type="gramEnd"/>
      <w:r w:rsidRPr="009907C1">
        <w:rPr>
          <w:rFonts w:ascii="新細明體" w:hAnsi="新細明體" w:hint="eastAsia"/>
          <w:color w:val="FF0000"/>
          <w:sz w:val="22"/>
        </w:rPr>
        <w:t>罪</w:t>
      </w:r>
      <w:r w:rsidRPr="009907C1">
        <w:rPr>
          <w:rFonts w:ascii="新細明體" w:hint="eastAsia"/>
          <w:color w:val="FF0000"/>
          <w:sz w:val="22"/>
        </w:rPr>
        <w:t>…</w:t>
      </w:r>
      <w:proofErr w:type="gramStart"/>
      <w:r w:rsidRPr="009907C1">
        <w:rPr>
          <w:rFonts w:ascii="新細明體" w:hint="eastAsia"/>
          <w:color w:val="FF0000"/>
          <w:sz w:val="22"/>
        </w:rPr>
        <w:t>…</w:t>
      </w:r>
      <w:proofErr w:type="gramEnd"/>
      <w:r w:rsidRPr="009907C1">
        <w:rPr>
          <w:rFonts w:ascii="新細明體" w:hAnsi="新細明體" w:hint="eastAsia"/>
          <w:color w:val="FF0000"/>
          <w:sz w:val="22"/>
        </w:rPr>
        <w:t>一二談也」反覆申明梁武帝是深仁厚德、不念舊惡</w:t>
      </w:r>
      <w:proofErr w:type="gramStart"/>
      <w:r w:rsidRPr="009907C1">
        <w:rPr>
          <w:rFonts w:ascii="新細明體" w:hAnsi="新細明體" w:hint="eastAsia"/>
          <w:color w:val="FF0000"/>
          <w:sz w:val="22"/>
        </w:rPr>
        <w:t>的明君</w:t>
      </w:r>
      <w:proofErr w:type="gramEnd"/>
      <w:r w:rsidRPr="009907C1">
        <w:rPr>
          <w:rFonts w:ascii="新細明體" w:hAnsi="新細明體" w:hint="eastAsia"/>
          <w:color w:val="FF0000"/>
          <w:sz w:val="22"/>
        </w:rPr>
        <w:t>。</w:t>
      </w:r>
    </w:p>
    <w:p w:rsidR="001176FC" w:rsidRPr="009907C1" w:rsidRDefault="001176FC" w:rsidP="001176FC">
      <w:pPr>
        <w:pStyle w:val="a3"/>
        <w:numPr>
          <w:ilvl w:val="0"/>
          <w:numId w:val="2"/>
        </w:numPr>
        <w:ind w:leftChars="0" w:left="709" w:hanging="229"/>
        <w:rPr>
          <w:rFonts w:ascii="新細明體"/>
          <w:color w:val="FF0000"/>
          <w:sz w:val="22"/>
        </w:rPr>
      </w:pPr>
      <w:r w:rsidRPr="009907C1">
        <w:rPr>
          <w:rFonts w:ascii="新細明體" w:hAnsi="新細明體" w:hint="eastAsia"/>
          <w:color w:val="FF0000"/>
          <w:sz w:val="22"/>
        </w:rPr>
        <w:t>曉之以理：「夫迷途</w:t>
      </w:r>
      <w:r w:rsidRPr="009907C1">
        <w:rPr>
          <w:rFonts w:ascii="Times New Roman" w:hAnsi="Times New Roman" w:hint="eastAsia"/>
          <w:color w:val="FF0000"/>
          <w:kern w:val="0"/>
          <w:sz w:val="22"/>
        </w:rPr>
        <w:t>知返</w:t>
      </w:r>
      <w:r w:rsidRPr="009907C1">
        <w:rPr>
          <w:rFonts w:ascii="新細明體" w:hint="eastAsia"/>
          <w:color w:val="FF0000"/>
          <w:sz w:val="22"/>
        </w:rPr>
        <w:t>…</w:t>
      </w:r>
      <w:proofErr w:type="gramStart"/>
      <w:r w:rsidRPr="009907C1">
        <w:rPr>
          <w:rFonts w:ascii="新細明體" w:hint="eastAsia"/>
          <w:color w:val="FF0000"/>
          <w:sz w:val="22"/>
        </w:rPr>
        <w:t>…</w:t>
      </w:r>
      <w:proofErr w:type="gramEnd"/>
      <w:r w:rsidRPr="009907C1">
        <w:rPr>
          <w:rFonts w:ascii="新細明體" w:hAnsi="新細明體" w:hint="eastAsia"/>
          <w:color w:val="FF0000"/>
          <w:sz w:val="22"/>
        </w:rPr>
        <w:t>先典</w:t>
      </w:r>
      <w:proofErr w:type="gramStart"/>
      <w:r w:rsidRPr="009907C1">
        <w:rPr>
          <w:rFonts w:ascii="新細明體" w:hAnsi="新細明體" w:hint="eastAsia"/>
          <w:color w:val="FF0000"/>
          <w:sz w:val="22"/>
        </w:rPr>
        <w:t>攸</w:t>
      </w:r>
      <w:proofErr w:type="gramEnd"/>
      <w:r w:rsidRPr="009907C1">
        <w:rPr>
          <w:rFonts w:ascii="新細明體" w:hAnsi="新細明體" w:hint="eastAsia"/>
          <w:color w:val="FF0000"/>
          <w:sz w:val="22"/>
        </w:rPr>
        <w:t>高」</w:t>
      </w:r>
      <w:r w:rsidRPr="009907C1">
        <w:rPr>
          <w:rFonts w:ascii="Times New Roman" w:hAnsi="Times New Roman" w:hint="eastAsia"/>
          <w:color w:val="FF0000"/>
          <w:kern w:val="0"/>
          <w:sz w:val="22"/>
        </w:rPr>
        <w:t>說明</w:t>
      </w:r>
      <w:r w:rsidRPr="009907C1">
        <w:rPr>
          <w:rFonts w:ascii="新細明體" w:hAnsi="新細明體" w:hint="eastAsia"/>
          <w:color w:val="FF0000"/>
          <w:sz w:val="22"/>
        </w:rPr>
        <w:t>棄暗投明</w:t>
      </w:r>
      <w:proofErr w:type="gramStart"/>
      <w:r w:rsidRPr="009907C1">
        <w:rPr>
          <w:rFonts w:ascii="新細明體" w:hAnsi="新細明體" w:hint="eastAsia"/>
          <w:color w:val="FF0000"/>
          <w:sz w:val="22"/>
        </w:rPr>
        <w:t>則往哲是與</w:t>
      </w:r>
      <w:proofErr w:type="gramEnd"/>
      <w:r w:rsidRPr="009907C1">
        <w:rPr>
          <w:rFonts w:ascii="新細明體" w:hAnsi="新細明體" w:hint="eastAsia"/>
          <w:color w:val="FF0000"/>
          <w:sz w:val="22"/>
        </w:rPr>
        <w:t>，期</w:t>
      </w:r>
      <w:proofErr w:type="gramStart"/>
      <w:r w:rsidRPr="009907C1">
        <w:rPr>
          <w:rFonts w:ascii="新細明體" w:hAnsi="新細明體" w:hint="eastAsia"/>
          <w:color w:val="FF0000"/>
          <w:sz w:val="22"/>
        </w:rPr>
        <w:t>勉</w:t>
      </w:r>
      <w:proofErr w:type="gramEnd"/>
      <w:r w:rsidRPr="009907C1">
        <w:rPr>
          <w:rFonts w:ascii="新細明體" w:hAnsi="新細明體" w:hint="eastAsia"/>
          <w:color w:val="FF0000"/>
          <w:sz w:val="22"/>
        </w:rPr>
        <w:t>他能勇於遷善。</w:t>
      </w:r>
    </w:p>
    <w:p w:rsidR="001176FC" w:rsidRPr="009907C1" w:rsidRDefault="001176FC" w:rsidP="001176FC">
      <w:pPr>
        <w:pStyle w:val="a3"/>
        <w:numPr>
          <w:ilvl w:val="0"/>
          <w:numId w:val="2"/>
        </w:numPr>
        <w:ind w:leftChars="0" w:left="709" w:hanging="229"/>
        <w:rPr>
          <w:rFonts w:ascii="Times New Roman" w:hAnsi="Times New Roman"/>
          <w:color w:val="FF0000"/>
          <w:sz w:val="22"/>
        </w:rPr>
      </w:pPr>
      <w:r w:rsidRPr="009907C1">
        <w:rPr>
          <w:rFonts w:hint="eastAsia"/>
          <w:color w:val="FF0000"/>
          <w:sz w:val="22"/>
        </w:rPr>
        <w:t>責之以義：「主</w:t>
      </w:r>
      <w:proofErr w:type="gramStart"/>
      <w:r w:rsidRPr="009907C1">
        <w:rPr>
          <w:rFonts w:hint="eastAsia"/>
          <w:color w:val="FF0000"/>
          <w:sz w:val="22"/>
        </w:rPr>
        <w:t>上屈法</w:t>
      </w:r>
      <w:proofErr w:type="gramEnd"/>
      <w:r w:rsidRPr="009907C1">
        <w:rPr>
          <w:color w:val="FF0000"/>
          <w:sz w:val="22"/>
        </w:rPr>
        <w:t>…</w:t>
      </w:r>
      <w:proofErr w:type="gramStart"/>
      <w:r w:rsidRPr="009907C1">
        <w:rPr>
          <w:color w:val="FF0000"/>
          <w:sz w:val="22"/>
        </w:rPr>
        <w:t>…</w:t>
      </w:r>
      <w:proofErr w:type="gramEnd"/>
      <w:r w:rsidRPr="009907C1">
        <w:rPr>
          <w:rFonts w:hint="eastAsia"/>
          <w:color w:val="FF0000"/>
          <w:sz w:val="22"/>
        </w:rPr>
        <w:t>亦</w:t>
      </w:r>
      <w:bookmarkStart w:id="0" w:name="_GoBack"/>
      <w:bookmarkEnd w:id="0"/>
      <w:r w:rsidRPr="009907C1">
        <w:rPr>
          <w:rFonts w:hint="eastAsia"/>
          <w:color w:val="FF0000"/>
          <w:sz w:val="22"/>
        </w:rPr>
        <w:t>何可言」強調梁武</w:t>
      </w:r>
      <w:proofErr w:type="gramStart"/>
      <w:r w:rsidRPr="009907C1">
        <w:rPr>
          <w:rFonts w:hint="eastAsia"/>
          <w:color w:val="FF0000"/>
          <w:sz w:val="22"/>
        </w:rPr>
        <w:t>帝屈法申恩</w:t>
      </w:r>
      <w:proofErr w:type="gramEnd"/>
      <w:r w:rsidRPr="009907C1">
        <w:rPr>
          <w:rFonts w:hint="eastAsia"/>
          <w:color w:val="FF0000"/>
          <w:sz w:val="22"/>
        </w:rPr>
        <w:t>的實際作為以取得陳伯之的感激與信任</w:t>
      </w:r>
      <w:r w:rsidRPr="009907C1">
        <w:rPr>
          <w:rFonts w:ascii="Times New Roman" w:hAnsi="Times New Roman" w:hint="eastAsia"/>
          <w:color w:val="FF0000"/>
          <w:sz w:val="22"/>
        </w:rPr>
        <w:t>。</w:t>
      </w:r>
    </w:p>
    <w:p w:rsidR="001176FC" w:rsidRPr="009907C1" w:rsidRDefault="001176FC" w:rsidP="001176FC">
      <w:pPr>
        <w:pStyle w:val="a3"/>
        <w:numPr>
          <w:ilvl w:val="0"/>
          <w:numId w:val="2"/>
        </w:numPr>
        <w:ind w:leftChars="0" w:left="709" w:hanging="229"/>
        <w:rPr>
          <w:rFonts w:ascii="新細明體"/>
          <w:color w:val="FF0000"/>
          <w:sz w:val="22"/>
        </w:rPr>
      </w:pPr>
      <w:r w:rsidRPr="009907C1">
        <w:rPr>
          <w:rFonts w:ascii="Times New Roman" w:hAnsi="Times New Roman" w:hint="eastAsia"/>
          <w:color w:val="FF0000"/>
          <w:kern w:val="0"/>
          <w:sz w:val="22"/>
        </w:rPr>
        <w:t>動之以情：「暮春三月</w:t>
      </w:r>
      <w:r w:rsidRPr="009907C1">
        <w:rPr>
          <w:rFonts w:ascii="Times New Roman" w:hAnsi="Times New Roman"/>
          <w:color w:val="FF0000"/>
          <w:kern w:val="0"/>
          <w:sz w:val="22"/>
        </w:rPr>
        <w:t>…</w:t>
      </w:r>
      <w:proofErr w:type="gramStart"/>
      <w:r w:rsidRPr="009907C1">
        <w:rPr>
          <w:rFonts w:ascii="Times New Roman" w:hAnsi="Times New Roman"/>
          <w:color w:val="FF0000"/>
          <w:kern w:val="0"/>
          <w:sz w:val="22"/>
        </w:rPr>
        <w:t>…</w:t>
      </w:r>
      <w:proofErr w:type="gramEnd"/>
      <w:r w:rsidRPr="009907C1">
        <w:rPr>
          <w:rFonts w:ascii="Times New Roman" w:hAnsi="Times New Roman" w:hint="eastAsia"/>
          <w:color w:val="FF0000"/>
          <w:kern w:val="0"/>
          <w:sz w:val="22"/>
        </w:rPr>
        <w:t>豈不</w:t>
      </w:r>
      <w:proofErr w:type="gramStart"/>
      <w:r w:rsidRPr="009907C1">
        <w:rPr>
          <w:rFonts w:ascii="Times New Roman" w:hAnsi="Times New Roman" w:hint="eastAsia"/>
          <w:color w:val="FF0000"/>
          <w:kern w:val="0"/>
          <w:sz w:val="22"/>
        </w:rPr>
        <w:t>愴悢</w:t>
      </w:r>
      <w:proofErr w:type="gramEnd"/>
      <w:r w:rsidRPr="009907C1">
        <w:rPr>
          <w:rFonts w:ascii="Times New Roman" w:hAnsi="Times New Roman" w:hint="eastAsia"/>
          <w:color w:val="FF0000"/>
          <w:kern w:val="0"/>
          <w:sz w:val="22"/>
        </w:rPr>
        <w:t>」藉由江南風光激發陳伯之的故土之情。</w:t>
      </w:r>
      <w:r w:rsidRPr="009907C1">
        <w:rPr>
          <w:rFonts w:ascii="Times New Roman" w:hAnsi="Times New Roman"/>
          <w:color w:val="FF0000"/>
          <w:kern w:val="0"/>
          <w:sz w:val="22"/>
        </w:rPr>
        <w:t>(</w:t>
      </w:r>
      <w:r w:rsidRPr="009907C1">
        <w:rPr>
          <w:rFonts w:ascii="Times New Roman" w:hAnsi="Times New Roman" w:hint="eastAsia"/>
          <w:color w:val="FF0000"/>
          <w:kern w:val="0"/>
          <w:sz w:val="22"/>
        </w:rPr>
        <w:t>30</w:t>
      </w:r>
      <w:r w:rsidRPr="009907C1">
        <w:rPr>
          <w:rFonts w:ascii="Times New Roman" w:hAnsi="Times New Roman"/>
          <w:color w:val="FF0000"/>
          <w:kern w:val="0"/>
          <w:sz w:val="22"/>
        </w:rPr>
        <w:t>2</w:t>
      </w:r>
      <w:r w:rsidRPr="009907C1">
        <w:rPr>
          <w:rFonts w:ascii="Times New Roman" w:hAnsi="Times New Roman" w:hint="eastAsia"/>
          <w:color w:val="FF0000"/>
          <w:kern w:val="0"/>
          <w:sz w:val="22"/>
        </w:rPr>
        <w:t>字</w:t>
      </w:r>
      <w:r w:rsidRPr="009907C1">
        <w:rPr>
          <w:rFonts w:ascii="Times New Roman" w:hAnsi="Times New Roman"/>
          <w:color w:val="FF0000"/>
          <w:kern w:val="0"/>
          <w:sz w:val="22"/>
        </w:rPr>
        <w:t>)</w:t>
      </w:r>
    </w:p>
    <w:p w:rsidR="008604D2" w:rsidRDefault="008604D2"/>
    <w:sectPr w:rsidR="008604D2" w:rsidSect="001176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FC"/>
    <w:multiLevelType w:val="hybridMultilevel"/>
    <w:tmpl w:val="F064DC5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30212A28"/>
    <w:multiLevelType w:val="hybridMultilevel"/>
    <w:tmpl w:val="0628864C"/>
    <w:lvl w:ilvl="0" w:tplc="F95AA8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4C767A"/>
    <w:multiLevelType w:val="hybridMultilevel"/>
    <w:tmpl w:val="4A84231E"/>
    <w:lvl w:ilvl="0" w:tplc="04090015">
      <w:start w:val="1"/>
      <w:numFmt w:val="taiwaneseCountingThousand"/>
      <w:lvlText w:val="%1、"/>
      <w:lvlJc w:val="left"/>
      <w:pPr>
        <w:ind w:left="1615" w:hanging="480"/>
      </w:pPr>
    </w:lvl>
    <w:lvl w:ilvl="1" w:tplc="11B4AC8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4D02D7"/>
    <w:multiLevelType w:val="hybridMultilevel"/>
    <w:tmpl w:val="2B885E54"/>
    <w:lvl w:ilvl="0" w:tplc="A98045E4">
      <w:start w:val="1"/>
      <w:numFmt w:val="taiwaneseCountingThousand"/>
      <w:lvlText w:val="(%1)"/>
      <w:lvlJc w:val="left"/>
      <w:pPr>
        <w:ind w:left="48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FC"/>
    <w:rsid w:val="001176FC"/>
    <w:rsid w:val="00860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6FC"/>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6FC"/>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2015-10-02T06:31:00Z</dcterms:created>
  <dcterms:modified xsi:type="dcterms:W3CDTF">2015-10-02T06:32:00Z</dcterms:modified>
</cp:coreProperties>
</file>