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13" w:rsidRPr="004D3413" w:rsidRDefault="004D3413" w:rsidP="004D3413">
      <w:pPr>
        <w:adjustRightInd w:val="0"/>
        <w:snapToGrid w:val="0"/>
        <w:spacing w:beforeLines="50" w:before="180" w:line="360" w:lineRule="atLeast"/>
        <w:rPr>
          <w:rFonts w:eastAsia="標楷體"/>
          <w:b/>
          <w:sz w:val="22"/>
        </w:rPr>
      </w:pPr>
      <w:bookmarkStart w:id="0" w:name="_GoBack"/>
      <w:bookmarkEnd w:id="0"/>
      <w:r w:rsidRPr="004D3413">
        <w:rPr>
          <w:rFonts w:eastAsia="標楷體"/>
          <w:b/>
          <w:sz w:val="22"/>
        </w:rPr>
        <w:t>師說</w:t>
      </w:r>
    </w:p>
    <w:p w:rsidR="004D3413" w:rsidRPr="007A023C" w:rsidRDefault="004D3413" w:rsidP="004D3413">
      <w:pPr>
        <w:adjustRightInd w:val="0"/>
        <w:snapToGrid w:val="0"/>
        <w:spacing w:line="360" w:lineRule="atLeast"/>
        <w:ind w:firstLineChars="177" w:firstLine="389"/>
        <w:rPr>
          <w:sz w:val="22"/>
          <w:szCs w:val="22"/>
        </w:rPr>
      </w:pPr>
      <w:r w:rsidRPr="007A023C">
        <w:rPr>
          <w:sz w:val="22"/>
          <w:szCs w:val="22"/>
        </w:rPr>
        <w:t>閱讀框線內文字後，回答下列問題：</w:t>
      </w:r>
    </w:p>
    <w:p w:rsidR="004D3413" w:rsidRPr="007A023C" w:rsidRDefault="004D3413" w:rsidP="004D3413">
      <w:pPr>
        <w:pStyle w:val="a3"/>
        <w:numPr>
          <w:ilvl w:val="1"/>
          <w:numId w:val="1"/>
        </w:numPr>
        <w:adjustRightInd w:val="0"/>
        <w:snapToGrid w:val="0"/>
        <w:spacing w:line="360" w:lineRule="atLeast"/>
        <w:ind w:leftChars="0" w:left="426"/>
        <w:rPr>
          <w:rFonts w:ascii="Times New Roman" w:hAnsi="Times New Roman"/>
          <w:sz w:val="22"/>
        </w:rPr>
      </w:pPr>
      <w:r w:rsidRPr="007A023C">
        <w:rPr>
          <w:rFonts w:ascii="Times New Roman" w:hAnsi="Times New Roman" w:hint="eastAsia"/>
          <w:sz w:val="22"/>
        </w:rPr>
        <w:t>分別解釋材料</w:t>
      </w:r>
      <w:r w:rsidRPr="007A023C">
        <w:rPr>
          <w:rFonts w:ascii="Times New Roman" w:hAnsi="Times New Roman" w:hint="eastAsia"/>
          <w:sz w:val="22"/>
        </w:rPr>
        <w:t>(</w:t>
      </w:r>
      <w:r w:rsidRPr="007A023C">
        <w:rPr>
          <w:rFonts w:ascii="Times New Roman" w:hAnsi="Times New Roman" w:hint="eastAsia"/>
          <w:sz w:val="22"/>
        </w:rPr>
        <w:t>甲</w:t>
      </w:r>
      <w:r w:rsidRPr="007A023C">
        <w:rPr>
          <w:rFonts w:ascii="Times New Roman" w:hAnsi="Times New Roman" w:hint="eastAsia"/>
          <w:sz w:val="22"/>
        </w:rPr>
        <w:t>)</w:t>
      </w:r>
      <w:r w:rsidRPr="007A023C">
        <w:rPr>
          <w:rFonts w:ascii="Times New Roman" w:hAnsi="Times New Roman" w:hint="eastAsia"/>
          <w:sz w:val="22"/>
        </w:rPr>
        <w:t>、</w:t>
      </w:r>
      <w:r w:rsidRPr="007A023C">
        <w:rPr>
          <w:rFonts w:ascii="Times New Roman" w:hAnsi="Times New Roman" w:hint="eastAsia"/>
          <w:sz w:val="22"/>
        </w:rPr>
        <w:t>(</w:t>
      </w:r>
      <w:r w:rsidRPr="007A023C">
        <w:rPr>
          <w:rFonts w:ascii="Times New Roman" w:hAnsi="Times New Roman" w:hint="eastAsia"/>
          <w:sz w:val="22"/>
        </w:rPr>
        <w:t>乙</w:t>
      </w:r>
      <w:r w:rsidRPr="007A023C">
        <w:rPr>
          <w:rFonts w:ascii="Times New Roman" w:hAnsi="Times New Roman" w:hint="eastAsia"/>
          <w:sz w:val="22"/>
        </w:rPr>
        <w:t>)</w:t>
      </w:r>
      <w:r w:rsidRPr="007A023C">
        <w:rPr>
          <w:rFonts w:ascii="Times New Roman" w:hAnsi="Times New Roman" w:hint="eastAsia"/>
          <w:sz w:val="22"/>
        </w:rPr>
        <w:t>兩段「吾</w:t>
      </w:r>
      <w:r w:rsidRPr="007A023C">
        <w:rPr>
          <w:rFonts w:ascii="Times New Roman" w:hAnsi="Times New Roman" w:hint="eastAsia"/>
          <w:b/>
          <w:sz w:val="22"/>
          <w:u w:val="single"/>
        </w:rPr>
        <w:t>師道</w:t>
      </w:r>
      <w:r w:rsidRPr="007A023C">
        <w:rPr>
          <w:rFonts w:ascii="Times New Roman" w:hAnsi="Times New Roman" w:hint="eastAsia"/>
          <w:sz w:val="22"/>
        </w:rPr>
        <w:t>也」和「</w:t>
      </w:r>
      <w:r w:rsidRPr="007A023C">
        <w:rPr>
          <w:rFonts w:ascii="Times New Roman" w:hAnsi="Times New Roman" w:hint="eastAsia"/>
          <w:b/>
          <w:sz w:val="22"/>
          <w:u w:val="single"/>
        </w:rPr>
        <w:t>師道</w:t>
      </w:r>
      <w:r w:rsidRPr="007A023C">
        <w:rPr>
          <w:rFonts w:ascii="Times New Roman" w:hAnsi="Times New Roman" w:hint="eastAsia"/>
          <w:sz w:val="22"/>
        </w:rPr>
        <w:t>之不傳也久矣」中「師道」之意涵。</w:t>
      </w:r>
      <w:r w:rsidRPr="007A023C">
        <w:rPr>
          <w:rFonts w:ascii="Times New Roman" w:hAnsi="Times New Roman" w:hint="eastAsia"/>
          <w:sz w:val="22"/>
        </w:rPr>
        <w:t>(3</w:t>
      </w:r>
      <w:r w:rsidRPr="007A023C">
        <w:rPr>
          <w:rFonts w:ascii="Times New Roman" w:hAnsi="Times New Roman" w:hint="eastAsia"/>
          <w:sz w:val="22"/>
        </w:rPr>
        <w:t>分</w:t>
      </w:r>
      <w:r w:rsidRPr="007A023C">
        <w:rPr>
          <w:rFonts w:ascii="Times New Roman" w:hAnsi="Times New Roman" w:hint="eastAsia"/>
          <w:sz w:val="22"/>
        </w:rPr>
        <w:t>)</w:t>
      </w:r>
    </w:p>
    <w:p w:rsidR="004D3413" w:rsidRPr="007A023C" w:rsidRDefault="004D3413" w:rsidP="004D3413">
      <w:pPr>
        <w:pStyle w:val="a3"/>
        <w:numPr>
          <w:ilvl w:val="1"/>
          <w:numId w:val="1"/>
        </w:numPr>
        <w:adjustRightInd w:val="0"/>
        <w:snapToGrid w:val="0"/>
        <w:spacing w:line="360" w:lineRule="atLeast"/>
        <w:ind w:leftChars="0" w:left="426"/>
        <w:rPr>
          <w:rFonts w:ascii="Times New Roman" w:hAnsi="Times New Roman"/>
          <w:sz w:val="22"/>
        </w:rPr>
      </w:pPr>
      <w:r w:rsidRPr="007A023C">
        <w:rPr>
          <w:rFonts w:ascii="Times New Roman" w:hAnsi="Times New Roman" w:hint="eastAsia"/>
          <w:sz w:val="22"/>
        </w:rPr>
        <w:t>根據作者的觀察，為何會發生材料</w:t>
      </w:r>
      <w:r w:rsidRPr="007A023C">
        <w:rPr>
          <w:rFonts w:ascii="Times New Roman" w:hAnsi="Times New Roman" w:hint="eastAsia"/>
          <w:sz w:val="22"/>
        </w:rPr>
        <w:t>(</w:t>
      </w:r>
      <w:r w:rsidRPr="007A023C">
        <w:rPr>
          <w:rFonts w:ascii="Times New Roman" w:hAnsi="Times New Roman" w:hint="eastAsia"/>
          <w:sz w:val="22"/>
        </w:rPr>
        <w:t>丙</w:t>
      </w:r>
      <w:r w:rsidRPr="007A023C">
        <w:rPr>
          <w:rFonts w:ascii="Times New Roman" w:hAnsi="Times New Roman" w:hint="eastAsia"/>
          <w:sz w:val="22"/>
        </w:rPr>
        <w:t>)</w:t>
      </w:r>
      <w:r w:rsidRPr="007A023C">
        <w:rPr>
          <w:rFonts w:ascii="Times New Roman" w:hAnsi="Times New Roman" w:hint="eastAsia"/>
          <w:sz w:val="22"/>
        </w:rPr>
        <w:t>所述「小學</w:t>
      </w:r>
      <w:proofErr w:type="gramStart"/>
      <w:r w:rsidRPr="007A023C">
        <w:rPr>
          <w:rFonts w:ascii="Times New Roman" w:hAnsi="Times New Roman" w:hint="eastAsia"/>
          <w:sz w:val="22"/>
        </w:rPr>
        <w:t>而大遺</w:t>
      </w:r>
      <w:proofErr w:type="gramEnd"/>
      <w:r w:rsidRPr="007A023C">
        <w:rPr>
          <w:rFonts w:ascii="Times New Roman" w:hAnsi="Times New Roman" w:hint="eastAsia"/>
          <w:sz w:val="22"/>
        </w:rPr>
        <w:t>」的情形？</w:t>
      </w:r>
      <w:r w:rsidRPr="007A023C">
        <w:rPr>
          <w:rFonts w:ascii="Times New Roman" w:hAnsi="Times New Roman" w:hint="eastAsia"/>
          <w:sz w:val="22"/>
        </w:rPr>
        <w:t>(6</w:t>
      </w:r>
      <w:r w:rsidRPr="007A023C">
        <w:rPr>
          <w:rFonts w:ascii="Times New Roman" w:hAnsi="Times New Roman" w:hint="eastAsia"/>
          <w:sz w:val="22"/>
        </w:rPr>
        <w:t>分</w:t>
      </w:r>
      <w:r w:rsidRPr="007A023C">
        <w:rPr>
          <w:rFonts w:ascii="Times New Roman" w:hAnsi="Times New Roman" w:hint="eastAsia"/>
          <w:sz w:val="22"/>
        </w:rPr>
        <w:t>)</w:t>
      </w:r>
    </w:p>
    <w:p w:rsidR="004D3413" w:rsidRPr="007A023C" w:rsidRDefault="004D3413" w:rsidP="004D3413">
      <w:pPr>
        <w:pStyle w:val="a3"/>
        <w:numPr>
          <w:ilvl w:val="1"/>
          <w:numId w:val="1"/>
        </w:numPr>
        <w:adjustRightInd w:val="0"/>
        <w:snapToGrid w:val="0"/>
        <w:spacing w:line="360" w:lineRule="atLeast"/>
        <w:ind w:leftChars="0" w:left="426"/>
        <w:rPr>
          <w:rFonts w:ascii="Times New Roman" w:hAnsi="Times New Roman"/>
          <w:sz w:val="22"/>
        </w:rPr>
      </w:pPr>
      <w:r w:rsidRPr="007A023C">
        <w:rPr>
          <w:rFonts w:ascii="Times New Roman" w:hAnsi="Times New Roman" w:hint="eastAsia"/>
          <w:sz w:val="22"/>
        </w:rPr>
        <w:t>綜合三段材料，作者認為「</w:t>
      </w:r>
      <w:proofErr w:type="gramStart"/>
      <w:r w:rsidRPr="007A023C">
        <w:rPr>
          <w:rFonts w:ascii="Times New Roman" w:hAnsi="Times New Roman" w:hint="eastAsia"/>
          <w:sz w:val="22"/>
        </w:rPr>
        <w:t>擇師的</w:t>
      </w:r>
      <w:proofErr w:type="gramEnd"/>
      <w:r w:rsidRPr="007A023C">
        <w:rPr>
          <w:rFonts w:ascii="Times New Roman" w:hAnsi="Times New Roman" w:hint="eastAsia"/>
          <w:sz w:val="22"/>
        </w:rPr>
        <w:t>標準」是什麼？你的看法如何？</w:t>
      </w:r>
      <w:r w:rsidRPr="007A023C">
        <w:rPr>
          <w:rFonts w:ascii="Times New Roman" w:hAnsi="Times New Roman" w:hint="eastAsia"/>
          <w:sz w:val="22"/>
        </w:rPr>
        <w:t>(9</w:t>
      </w:r>
      <w:r w:rsidRPr="007A023C">
        <w:rPr>
          <w:rFonts w:ascii="Times New Roman" w:hAnsi="Times New Roman" w:hint="eastAsia"/>
          <w:sz w:val="22"/>
        </w:rPr>
        <w:t>分</w:t>
      </w:r>
      <w:r w:rsidRPr="007A023C">
        <w:rPr>
          <w:rFonts w:ascii="Times New Roman" w:hAnsi="Times New Roman" w:hint="eastAsia"/>
          <w:sz w:val="22"/>
        </w:rPr>
        <w:t>)</w:t>
      </w:r>
    </w:p>
    <w:p w:rsidR="004D3413" w:rsidRPr="007A023C" w:rsidRDefault="004D3413" w:rsidP="004D3413">
      <w:pPr>
        <w:adjustRightInd w:val="0"/>
        <w:snapToGrid w:val="0"/>
        <w:spacing w:line="360" w:lineRule="atLeast"/>
        <w:rPr>
          <w:sz w:val="22"/>
          <w:szCs w:val="22"/>
        </w:rPr>
      </w:pPr>
      <w:r w:rsidRPr="007A023C">
        <w:rPr>
          <w:sz w:val="22"/>
          <w:szCs w:val="22"/>
        </w:rPr>
        <w:t>答案必須標明</w:t>
      </w:r>
      <w:r w:rsidRPr="007A023C">
        <w:rPr>
          <w:sz w:val="22"/>
          <w:szCs w:val="22"/>
        </w:rPr>
        <w:t>(</w:t>
      </w:r>
      <w:proofErr w:type="gramStart"/>
      <w:r w:rsidRPr="007A023C">
        <w:rPr>
          <w:sz w:val="22"/>
          <w:szCs w:val="22"/>
        </w:rPr>
        <w:t>一</w:t>
      </w:r>
      <w:proofErr w:type="gramEnd"/>
      <w:r w:rsidRPr="007A023C">
        <w:rPr>
          <w:sz w:val="22"/>
          <w:szCs w:val="22"/>
        </w:rPr>
        <w:t>)(</w:t>
      </w:r>
      <w:r w:rsidRPr="007A023C">
        <w:rPr>
          <w:sz w:val="22"/>
          <w:szCs w:val="22"/>
        </w:rPr>
        <w:t>二</w:t>
      </w:r>
      <w:r w:rsidRPr="007A023C">
        <w:rPr>
          <w:sz w:val="22"/>
          <w:szCs w:val="22"/>
        </w:rPr>
        <w:t>)</w:t>
      </w:r>
      <w:r w:rsidRPr="007A023C">
        <w:rPr>
          <w:rFonts w:hint="eastAsia"/>
          <w:sz w:val="22"/>
          <w:szCs w:val="22"/>
        </w:rPr>
        <w:t>(</w:t>
      </w:r>
      <w:r w:rsidRPr="007A023C">
        <w:rPr>
          <w:rFonts w:hint="eastAsia"/>
          <w:sz w:val="22"/>
          <w:szCs w:val="22"/>
        </w:rPr>
        <w:t>三</w:t>
      </w:r>
      <w:r w:rsidRPr="007A023C">
        <w:rPr>
          <w:rFonts w:hint="eastAsia"/>
          <w:sz w:val="22"/>
          <w:szCs w:val="22"/>
        </w:rPr>
        <w:t>)</w:t>
      </w:r>
      <w:r w:rsidRPr="007A023C">
        <w:rPr>
          <w:sz w:val="22"/>
          <w:szCs w:val="22"/>
        </w:rPr>
        <w:t>分列書寫。</w:t>
      </w:r>
      <w:r w:rsidRPr="007A023C">
        <w:rPr>
          <w:rFonts w:hint="eastAsia"/>
          <w:sz w:val="22"/>
          <w:szCs w:val="22"/>
        </w:rPr>
        <w:t>三小題</w:t>
      </w:r>
      <w:r w:rsidRPr="007A023C">
        <w:rPr>
          <w:sz w:val="22"/>
          <w:szCs w:val="22"/>
        </w:rPr>
        <w:t>合計文長限</w:t>
      </w:r>
      <w:r w:rsidRPr="007A023C">
        <w:rPr>
          <w:sz w:val="22"/>
          <w:szCs w:val="22"/>
        </w:rPr>
        <w:t>250</w:t>
      </w:r>
      <w:r w:rsidRPr="007A023C">
        <w:rPr>
          <w:sz w:val="22"/>
          <w:szCs w:val="22"/>
        </w:rPr>
        <w:t>字～</w:t>
      </w:r>
      <w:r w:rsidRPr="007A023C">
        <w:rPr>
          <w:sz w:val="22"/>
          <w:szCs w:val="22"/>
        </w:rPr>
        <w:t>300</w:t>
      </w:r>
      <w:r w:rsidRPr="007A023C">
        <w:rPr>
          <w:sz w:val="22"/>
          <w:szCs w:val="22"/>
        </w:rPr>
        <w:t>字</w:t>
      </w:r>
      <w:r w:rsidRPr="007A023C">
        <w:rPr>
          <w:sz w:val="22"/>
          <w:szCs w:val="22"/>
        </w:rPr>
        <w:t>(</w:t>
      </w:r>
      <w:r w:rsidRPr="007A023C">
        <w:rPr>
          <w:sz w:val="22"/>
          <w:szCs w:val="22"/>
        </w:rPr>
        <w:t>約</w:t>
      </w:r>
      <w:r w:rsidRPr="007A023C">
        <w:rPr>
          <w:sz w:val="22"/>
          <w:szCs w:val="22"/>
        </w:rPr>
        <w:t>11</w:t>
      </w:r>
      <w:r w:rsidRPr="007A023C">
        <w:rPr>
          <w:sz w:val="22"/>
          <w:szCs w:val="22"/>
        </w:rPr>
        <w:t>～</w:t>
      </w:r>
      <w:r w:rsidRPr="007A023C">
        <w:rPr>
          <w:sz w:val="22"/>
          <w:szCs w:val="22"/>
        </w:rPr>
        <w:t>14</w:t>
      </w:r>
      <w:r w:rsidRPr="007A023C">
        <w:rPr>
          <w:sz w:val="22"/>
          <w:szCs w:val="22"/>
        </w:rPr>
        <w:t>行</w:t>
      </w:r>
      <w:r w:rsidRPr="007A023C">
        <w:rPr>
          <w:sz w:val="22"/>
          <w:szCs w:val="22"/>
        </w:rPr>
        <w:t>)</w:t>
      </w:r>
      <w:r w:rsidRPr="007A023C">
        <w:rPr>
          <w:sz w:val="22"/>
          <w:szCs w:val="22"/>
        </w:rPr>
        <w:t>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4D3413" w:rsidRPr="007A023C" w:rsidTr="004B5DC4">
        <w:tc>
          <w:tcPr>
            <w:tcW w:w="5000" w:type="pct"/>
          </w:tcPr>
          <w:p w:rsidR="004D3413" w:rsidRPr="007A023C" w:rsidRDefault="004D3413" w:rsidP="004B5DC4">
            <w:pPr>
              <w:adjustRightInd w:val="0"/>
              <w:snapToGrid w:val="0"/>
              <w:spacing w:line="360" w:lineRule="atLeast"/>
              <w:rPr>
                <w:rFonts w:eastAsia="標楷體"/>
                <w:b/>
                <w:sz w:val="22"/>
              </w:rPr>
            </w:pPr>
            <w:r w:rsidRPr="007A023C">
              <w:rPr>
                <w:rFonts w:eastAsia="標楷體" w:hint="eastAsia"/>
                <w:b/>
                <w:sz w:val="22"/>
                <w:szCs w:val="22"/>
              </w:rPr>
              <w:t>材料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甲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：</w:t>
            </w:r>
          </w:p>
          <w:p w:rsidR="004D3413" w:rsidRPr="007A023C" w:rsidRDefault="004D3413" w:rsidP="004B5DC4">
            <w:pPr>
              <w:pStyle w:val="a3"/>
              <w:adjustRightInd w:val="0"/>
              <w:snapToGrid w:val="0"/>
              <w:spacing w:line="360" w:lineRule="atLeast"/>
              <w:ind w:leftChars="0" w:left="0" w:firstLineChars="236" w:firstLine="519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生乎吾前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，其聞道</w:t>
            </w: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也固先乎吾，吾從而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師之；</w:t>
            </w: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生乎吾後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，其聞道也，亦</w:t>
            </w: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先乎吾，吾從而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師之。</w:t>
            </w: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吾</w:t>
            </w:r>
            <w:proofErr w:type="gramEnd"/>
            <w:r w:rsidRPr="007A023C">
              <w:rPr>
                <w:rFonts w:ascii="Times New Roman" w:eastAsia="標楷體" w:hAnsi="Times New Roman" w:hint="eastAsia"/>
                <w:b/>
                <w:sz w:val="22"/>
                <w:u w:val="single"/>
              </w:rPr>
              <w:t>師道</w:t>
            </w:r>
            <w:r w:rsidRPr="007A023C">
              <w:rPr>
                <w:rFonts w:ascii="Times New Roman" w:eastAsia="標楷體" w:hAnsi="Times New Roman" w:hint="eastAsia"/>
                <w:sz w:val="22"/>
              </w:rPr>
              <w:t>也，</w:t>
            </w: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夫庸知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其年之先後生於吾乎？是故</w:t>
            </w: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無貴、無賤、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無長、無少，道之所存，師之所存也。</w:t>
            </w:r>
          </w:p>
          <w:p w:rsidR="004D3413" w:rsidRPr="007A023C" w:rsidRDefault="004D3413" w:rsidP="004D3413">
            <w:pPr>
              <w:adjustRightInd w:val="0"/>
              <w:snapToGrid w:val="0"/>
              <w:spacing w:beforeLines="50" w:before="180" w:line="360" w:lineRule="atLeast"/>
              <w:rPr>
                <w:rFonts w:eastAsia="標楷體"/>
                <w:b/>
                <w:sz w:val="22"/>
              </w:rPr>
            </w:pPr>
            <w:r w:rsidRPr="007A023C">
              <w:rPr>
                <w:rFonts w:eastAsia="標楷體" w:hint="eastAsia"/>
                <w:b/>
                <w:sz w:val="22"/>
                <w:szCs w:val="22"/>
              </w:rPr>
              <w:t>材料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乙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：</w:t>
            </w:r>
          </w:p>
          <w:p w:rsidR="004D3413" w:rsidRPr="007A023C" w:rsidRDefault="004D3413" w:rsidP="004B5DC4">
            <w:pPr>
              <w:pStyle w:val="a3"/>
              <w:adjustRightInd w:val="0"/>
              <w:snapToGrid w:val="0"/>
              <w:spacing w:line="360" w:lineRule="atLeast"/>
              <w:ind w:leftChars="0" w:left="0" w:firstLineChars="236" w:firstLine="519"/>
              <w:rPr>
                <w:rFonts w:ascii="Times New Roman" w:eastAsia="標楷體" w:hAnsi="Times New Roman"/>
                <w:sz w:val="22"/>
              </w:rPr>
            </w:pP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嗟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乎！</w:t>
            </w:r>
            <w:r w:rsidRPr="007A023C">
              <w:rPr>
                <w:rFonts w:ascii="Times New Roman" w:eastAsia="標楷體" w:hAnsi="Times New Roman" w:hint="eastAsia"/>
                <w:b/>
                <w:sz w:val="22"/>
                <w:u w:val="single"/>
              </w:rPr>
              <w:t>師道</w:t>
            </w:r>
            <w:r w:rsidRPr="007A023C">
              <w:rPr>
                <w:rFonts w:ascii="Times New Roman" w:eastAsia="標楷體" w:hAnsi="Times New Roman" w:hint="eastAsia"/>
                <w:sz w:val="22"/>
              </w:rPr>
              <w:t>之不傳也久矣！欲人之</w:t>
            </w: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無惑也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難矣！古之聖人，其出人也遠矣，猶且從師而</w:t>
            </w: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問焉；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今之眾人，其下聖人也亦遠矣，</w:t>
            </w: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而恥學於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師。是故</w:t>
            </w: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聖益聖，愚益愚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。聖人之所以為聖，愚人之所以為愚，</w:t>
            </w: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其皆出於此乎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？</w:t>
            </w:r>
          </w:p>
          <w:p w:rsidR="004D3413" w:rsidRPr="007A023C" w:rsidRDefault="004D3413" w:rsidP="004D3413">
            <w:pPr>
              <w:adjustRightInd w:val="0"/>
              <w:snapToGrid w:val="0"/>
              <w:spacing w:beforeLines="50" w:before="180" w:line="360" w:lineRule="atLeast"/>
              <w:rPr>
                <w:rFonts w:eastAsia="標楷體"/>
                <w:b/>
                <w:sz w:val="22"/>
              </w:rPr>
            </w:pPr>
            <w:r w:rsidRPr="007A023C">
              <w:rPr>
                <w:rFonts w:eastAsia="標楷體" w:hint="eastAsia"/>
                <w:b/>
                <w:sz w:val="22"/>
                <w:szCs w:val="22"/>
              </w:rPr>
              <w:t>材料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(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丙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Pr="007A023C">
              <w:rPr>
                <w:rFonts w:eastAsia="標楷體" w:hint="eastAsia"/>
                <w:b/>
                <w:sz w:val="22"/>
                <w:szCs w:val="22"/>
              </w:rPr>
              <w:t>：</w:t>
            </w:r>
          </w:p>
          <w:p w:rsidR="004D3413" w:rsidRPr="007A023C" w:rsidRDefault="004D3413" w:rsidP="004B5DC4">
            <w:pPr>
              <w:pStyle w:val="a3"/>
              <w:adjustRightInd w:val="0"/>
              <w:snapToGrid w:val="0"/>
              <w:spacing w:line="360" w:lineRule="atLeast"/>
              <w:ind w:leftChars="0" w:left="0" w:firstLineChars="236" w:firstLine="519"/>
              <w:rPr>
                <w:rFonts w:ascii="Times New Roman" w:eastAsia="標楷體" w:hAnsi="Times New Roman"/>
                <w:sz w:val="22"/>
              </w:rPr>
            </w:pPr>
            <w:r w:rsidRPr="007A023C">
              <w:rPr>
                <w:rFonts w:ascii="Times New Roman" w:eastAsia="標楷體" w:hAnsi="Times New Roman" w:hint="eastAsia"/>
                <w:sz w:val="22"/>
              </w:rPr>
              <w:t>愛其子，</w:t>
            </w: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擇師而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教之；於其身也則</w:t>
            </w: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恥師焉，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惑矣。</w:t>
            </w: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彼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童子之師，授之書</w:t>
            </w: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而習其句讀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者也，非吾所謂傳其道、解</w:t>
            </w: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其惑者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也。句讀之不知，惑之不解，</w:t>
            </w: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或師焉，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或</w:t>
            </w: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不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焉，小學而</w:t>
            </w:r>
            <w:proofErr w:type="gramStart"/>
            <w:r w:rsidRPr="007A023C">
              <w:rPr>
                <w:rFonts w:ascii="Times New Roman" w:eastAsia="標楷體" w:hAnsi="Times New Roman" w:hint="eastAsia"/>
                <w:sz w:val="22"/>
              </w:rPr>
              <w:t>大遺，吾未</w:t>
            </w:r>
            <w:proofErr w:type="gramEnd"/>
            <w:r w:rsidRPr="007A023C">
              <w:rPr>
                <w:rFonts w:ascii="Times New Roman" w:eastAsia="標楷體" w:hAnsi="Times New Roman" w:hint="eastAsia"/>
                <w:sz w:val="22"/>
              </w:rPr>
              <w:t>見其明也。</w:t>
            </w:r>
            <w:r w:rsidRPr="007A023C">
              <w:rPr>
                <w:rFonts w:ascii="Times New Roman" w:eastAsia="標楷體" w:hAnsi="Times New Roman"/>
                <w:sz w:val="22"/>
              </w:rPr>
              <w:t>(</w:t>
            </w:r>
            <w:r w:rsidRPr="007A023C">
              <w:rPr>
                <w:rFonts w:ascii="Times New Roman" w:hAnsi="Times New Roman"/>
                <w:sz w:val="22"/>
              </w:rPr>
              <w:t>韓愈〈師說〉</w:t>
            </w:r>
            <w:r w:rsidRPr="007A023C">
              <w:rPr>
                <w:rFonts w:ascii="Times New Roman" w:eastAsia="標楷體" w:hAnsi="Times New Roman"/>
                <w:sz w:val="22"/>
              </w:rPr>
              <w:t>)</w:t>
            </w:r>
          </w:p>
        </w:tc>
      </w:tr>
    </w:tbl>
    <w:p w:rsidR="004D3413" w:rsidRPr="008838E9" w:rsidRDefault="004D3413" w:rsidP="004D3413">
      <w:pPr>
        <w:tabs>
          <w:tab w:val="left" w:pos="660"/>
        </w:tabs>
        <w:adjustRightInd w:val="0"/>
        <w:snapToGrid w:val="0"/>
        <w:spacing w:line="360" w:lineRule="atLeast"/>
        <w:jc w:val="both"/>
        <w:rPr>
          <w:sz w:val="22"/>
        </w:rPr>
      </w:pPr>
      <w:r>
        <w:rPr>
          <w:rFonts w:ascii="新細明體" w:hAnsi="新細明體" w:hint="eastAsia"/>
          <w:color w:val="FF0000"/>
          <w:sz w:val="22"/>
        </w:rPr>
        <w:t>【參考答案】</w:t>
      </w:r>
    </w:p>
    <w:p w:rsidR="004D3413" w:rsidRPr="009907C1" w:rsidRDefault="004D3413" w:rsidP="004D3413">
      <w:pPr>
        <w:pStyle w:val="a3"/>
        <w:numPr>
          <w:ilvl w:val="0"/>
          <w:numId w:val="2"/>
        </w:numPr>
        <w:adjustRightInd w:val="0"/>
        <w:snapToGrid w:val="0"/>
        <w:spacing w:line="360" w:lineRule="atLeast"/>
        <w:ind w:leftChars="0" w:left="426" w:hanging="426"/>
        <w:jc w:val="both"/>
        <w:rPr>
          <w:rFonts w:ascii="Times New Roman" w:hAnsi="Times New Roman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材料</w:t>
      </w:r>
      <w:r w:rsidRPr="009907C1">
        <w:rPr>
          <w:rFonts w:ascii="Times New Roman" w:hAnsi="Times New Roman" w:hint="eastAsia"/>
          <w:color w:val="FF0000"/>
          <w:sz w:val="22"/>
        </w:rPr>
        <w:t>(</w:t>
      </w:r>
      <w:r w:rsidRPr="009907C1">
        <w:rPr>
          <w:rFonts w:ascii="Times New Roman" w:hAnsi="Times New Roman" w:hint="eastAsia"/>
          <w:color w:val="FF0000"/>
          <w:sz w:val="22"/>
        </w:rPr>
        <w:t>甲</w:t>
      </w:r>
      <w:r w:rsidRPr="009907C1">
        <w:rPr>
          <w:rFonts w:ascii="Times New Roman" w:hAnsi="Times New Roman" w:hint="eastAsia"/>
          <w:color w:val="FF0000"/>
          <w:sz w:val="22"/>
        </w:rPr>
        <w:t>)</w:t>
      </w:r>
      <w:r w:rsidRPr="009907C1">
        <w:rPr>
          <w:rFonts w:ascii="Times New Roman" w:hAnsi="Times New Roman" w:hint="eastAsia"/>
          <w:color w:val="FF0000"/>
          <w:sz w:val="22"/>
        </w:rPr>
        <w:t>之「師道」指「學習道理」；材料</w:t>
      </w:r>
      <w:r w:rsidRPr="009907C1">
        <w:rPr>
          <w:rFonts w:ascii="Times New Roman" w:hAnsi="Times New Roman" w:hint="eastAsia"/>
          <w:color w:val="FF0000"/>
          <w:sz w:val="22"/>
        </w:rPr>
        <w:t>(</w:t>
      </w:r>
      <w:r w:rsidRPr="009907C1">
        <w:rPr>
          <w:rFonts w:ascii="Times New Roman" w:hAnsi="Times New Roman" w:hint="eastAsia"/>
          <w:color w:val="FF0000"/>
          <w:sz w:val="22"/>
        </w:rPr>
        <w:t>乙</w:t>
      </w:r>
      <w:r w:rsidRPr="009907C1">
        <w:rPr>
          <w:rFonts w:ascii="Times New Roman" w:hAnsi="Times New Roman" w:hint="eastAsia"/>
          <w:color w:val="FF0000"/>
          <w:sz w:val="22"/>
        </w:rPr>
        <w:t>)</w:t>
      </w:r>
      <w:r w:rsidRPr="009907C1">
        <w:rPr>
          <w:rFonts w:ascii="Times New Roman" w:hAnsi="Times New Roman" w:hint="eastAsia"/>
          <w:color w:val="FF0000"/>
          <w:sz w:val="22"/>
        </w:rPr>
        <w:t>之「師道」指「從師問學的傳統」。</w:t>
      </w:r>
    </w:p>
    <w:p w:rsidR="004D3413" w:rsidRPr="009907C1" w:rsidRDefault="004D3413" w:rsidP="004D3413">
      <w:pPr>
        <w:pStyle w:val="a3"/>
        <w:numPr>
          <w:ilvl w:val="0"/>
          <w:numId w:val="2"/>
        </w:numPr>
        <w:adjustRightInd w:val="0"/>
        <w:snapToGrid w:val="0"/>
        <w:spacing w:line="360" w:lineRule="atLeast"/>
        <w:ind w:leftChars="0" w:left="426" w:hanging="426"/>
        <w:jc w:val="both"/>
        <w:rPr>
          <w:rFonts w:ascii="Times New Roman" w:hAnsi="Times New Roman"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韓愈認為時人為子弟擇師教授章句句讀，是「小學」，即學習基礎知識；然而「人非生而知之者」，很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難無惑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，時人對於自身疑惑卻不知從師問學，是「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大遺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」，即遺漏解人生之惑的學習機會。「小學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而大遺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」是本末倒置、輕重不分的錯誤觀念，故韓愈譏其愚昧。</w:t>
      </w:r>
    </w:p>
    <w:p w:rsidR="004D3413" w:rsidRPr="009907C1" w:rsidRDefault="004D3413" w:rsidP="004D3413">
      <w:pPr>
        <w:pStyle w:val="a3"/>
        <w:numPr>
          <w:ilvl w:val="0"/>
          <w:numId w:val="2"/>
        </w:numPr>
        <w:adjustRightInd w:val="0"/>
        <w:snapToGrid w:val="0"/>
        <w:spacing w:beforeLines="50" w:before="180" w:afterLines="100" w:after="360" w:line="360" w:lineRule="atLeast"/>
        <w:ind w:leftChars="0" w:left="426" w:hanging="426"/>
        <w:jc w:val="both"/>
        <w:rPr>
          <w:bCs/>
          <w:color w:val="FF0000"/>
          <w:sz w:val="22"/>
        </w:rPr>
      </w:pPr>
      <w:r w:rsidRPr="009907C1">
        <w:rPr>
          <w:rFonts w:ascii="Times New Roman" w:hAnsi="Times New Roman" w:hint="eastAsia"/>
          <w:color w:val="FF0000"/>
          <w:sz w:val="22"/>
        </w:rPr>
        <w:t>韓愈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認為擇師的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標準是「聞道先後」，他透過古今對比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說明賢愚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差異在於從師與否，以闡述學習的重要。韓愈主張無論地位尊卑、年齡大小、才智高下，先聞道者便能為人師的道理。我十分認同，因為學海無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涯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而生命有限，人不可能樣樣專精，以「道之所存」</w:t>
      </w:r>
      <w:proofErr w:type="gramStart"/>
      <w:r w:rsidRPr="009907C1">
        <w:rPr>
          <w:rFonts w:ascii="Times New Roman" w:hAnsi="Times New Roman" w:hint="eastAsia"/>
          <w:color w:val="FF0000"/>
          <w:sz w:val="22"/>
        </w:rPr>
        <w:t>作為擇師標準</w:t>
      </w:r>
      <w:proofErr w:type="gramEnd"/>
      <w:r w:rsidRPr="009907C1">
        <w:rPr>
          <w:rFonts w:ascii="Times New Roman" w:hAnsi="Times New Roman" w:hint="eastAsia"/>
          <w:color w:val="FF0000"/>
          <w:sz w:val="22"/>
        </w:rPr>
        <w:t>，虛心向學，才是正確的學習態度。</w:t>
      </w:r>
    </w:p>
    <w:p w:rsidR="008604D2" w:rsidRPr="004D3413" w:rsidRDefault="008604D2"/>
    <w:sectPr w:rsidR="008604D2" w:rsidRPr="004D3413" w:rsidSect="004D34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C767A"/>
    <w:multiLevelType w:val="hybridMultilevel"/>
    <w:tmpl w:val="4A84231E"/>
    <w:lvl w:ilvl="0" w:tplc="04090015">
      <w:start w:val="1"/>
      <w:numFmt w:val="taiwaneseCountingThousand"/>
      <w:lvlText w:val="%1、"/>
      <w:lvlJc w:val="left"/>
      <w:pPr>
        <w:ind w:left="1615" w:hanging="480"/>
      </w:pPr>
    </w:lvl>
    <w:lvl w:ilvl="1" w:tplc="11B4AC8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035410"/>
    <w:multiLevelType w:val="hybridMultilevel"/>
    <w:tmpl w:val="45288FDC"/>
    <w:lvl w:ilvl="0" w:tplc="4E78B0AA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E84A2688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13"/>
    <w:rsid w:val="004D3413"/>
    <w:rsid w:val="0086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13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1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41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2015-10-02T06:38:00Z</dcterms:created>
  <dcterms:modified xsi:type="dcterms:W3CDTF">2015-10-02T06:38:00Z</dcterms:modified>
</cp:coreProperties>
</file>