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02" w:rsidRPr="007A023C" w:rsidRDefault="00810102" w:rsidP="00810102">
      <w:pPr>
        <w:adjustRightInd w:val="0"/>
        <w:snapToGrid w:val="0"/>
        <w:spacing w:beforeLines="50" w:before="180" w:line="360" w:lineRule="atLeast"/>
        <w:rPr>
          <w:rFonts w:eastAsia="標楷體"/>
          <w:b/>
          <w:sz w:val="22"/>
        </w:rPr>
      </w:pPr>
      <w:bookmarkStart w:id="0" w:name="_GoBack"/>
      <w:proofErr w:type="gramStart"/>
      <w:r w:rsidRPr="007A023C">
        <w:rPr>
          <w:rFonts w:eastAsia="標楷體" w:hint="eastAsia"/>
          <w:b/>
          <w:sz w:val="22"/>
        </w:rPr>
        <w:t>諫太</w:t>
      </w:r>
      <w:proofErr w:type="gramEnd"/>
      <w:r w:rsidRPr="007A023C">
        <w:rPr>
          <w:rFonts w:eastAsia="標楷體" w:hint="eastAsia"/>
          <w:b/>
          <w:sz w:val="22"/>
        </w:rPr>
        <w:t>宗十思疏</w:t>
      </w:r>
    </w:p>
    <w:bookmarkEnd w:id="0"/>
    <w:p w:rsidR="00810102" w:rsidRPr="007A023C" w:rsidRDefault="00810102" w:rsidP="00810102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閱讀框線內《貞觀政要‧論君道》文字後，回答下列問題：</w:t>
      </w:r>
    </w:p>
    <w:p w:rsidR="00810102" w:rsidRPr="007A023C" w:rsidRDefault="00810102" w:rsidP="008101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材料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甲</w:t>
      </w:r>
      <w:r w:rsidRPr="007A023C">
        <w:rPr>
          <w:rFonts w:ascii="Times New Roman" w:hAnsi="Times New Roman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中，「十思」的內容可分門別類加以歸納，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試依類別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條列說明之。</w:t>
      </w:r>
      <w:r w:rsidRPr="007A023C">
        <w:rPr>
          <w:rFonts w:ascii="Times New Roman" w:hAnsi="Times New Roman"/>
          <w:kern w:val="0"/>
          <w:sz w:val="22"/>
        </w:rPr>
        <w:t>(9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810102" w:rsidRPr="007A023C" w:rsidRDefault="00810102" w:rsidP="008101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判讀材料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甲</w:t>
      </w:r>
      <w:r w:rsidRPr="007A023C">
        <w:rPr>
          <w:rFonts w:ascii="Times New Roman" w:hAnsi="Times New Roman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、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乙</w:t>
      </w:r>
      <w:r w:rsidRPr="007A023C">
        <w:rPr>
          <w:rFonts w:ascii="Times New Roman" w:hAnsi="Times New Roman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，比較魏徵及何曾在勸諫君主的態度上有何不同？你認為唐太宗會比較認同哪一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位人臣的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作為？試說明理由。</w:t>
      </w:r>
      <w:r w:rsidRPr="007A023C">
        <w:rPr>
          <w:rFonts w:ascii="Times New Roman" w:hAnsi="Times New Roman"/>
          <w:kern w:val="0"/>
          <w:sz w:val="22"/>
        </w:rPr>
        <w:t>(9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810102" w:rsidRPr="007A023C" w:rsidRDefault="00810102" w:rsidP="00810102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答案必須標明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分列書寫。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合計文長限</w:t>
      </w:r>
      <w:r w:rsidRPr="007A023C">
        <w:rPr>
          <w:sz w:val="22"/>
          <w:szCs w:val="22"/>
        </w:rPr>
        <w:t>250~300</w:t>
      </w:r>
      <w:r w:rsidRPr="007A023C">
        <w:rPr>
          <w:rFonts w:hint="eastAsia"/>
          <w:sz w:val="22"/>
          <w:szCs w:val="22"/>
        </w:rPr>
        <w:t>字</w:t>
      </w:r>
      <w:r w:rsidRPr="007A023C">
        <w:rPr>
          <w:rFonts w:hint="eastAsia"/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約</w:t>
      </w:r>
      <w:r w:rsidRPr="007A023C">
        <w:rPr>
          <w:sz w:val="22"/>
          <w:szCs w:val="22"/>
        </w:rPr>
        <w:t>11~14</w:t>
      </w:r>
      <w:r w:rsidRPr="007A023C">
        <w:rPr>
          <w:rFonts w:hint="eastAsia"/>
          <w:sz w:val="22"/>
          <w:szCs w:val="22"/>
        </w:rPr>
        <w:t>行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810102" w:rsidRPr="007A023C" w:rsidTr="004B5DC4">
        <w:tc>
          <w:tcPr>
            <w:tcW w:w="5000" w:type="pct"/>
          </w:tcPr>
          <w:p w:rsidR="00810102" w:rsidRPr="007A023C" w:rsidRDefault="00810102" w:rsidP="004B5DC4">
            <w:pPr>
              <w:adjustRightInd w:val="0"/>
              <w:snapToGrid w:val="0"/>
              <w:spacing w:line="360" w:lineRule="atLeast"/>
              <w:rPr>
                <w:rFonts w:eastAsia="標楷體"/>
                <w:b/>
                <w:sz w:val="22"/>
              </w:rPr>
            </w:pPr>
            <w:r w:rsidRPr="007A023C">
              <w:rPr>
                <w:rFonts w:eastAsia="標楷體" w:hint="eastAsia"/>
                <w:b/>
                <w:sz w:val="22"/>
                <w:szCs w:val="22"/>
              </w:rPr>
              <w:t>材料</w:t>
            </w:r>
            <w:r w:rsidRPr="007A023C">
              <w:rPr>
                <w:rFonts w:eastAsia="標楷體"/>
                <w:b/>
                <w:sz w:val="22"/>
                <w:szCs w:val="22"/>
              </w:rPr>
              <w:t>(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甲</w:t>
            </w:r>
            <w:r w:rsidRPr="007A023C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810102" w:rsidRPr="007A023C" w:rsidRDefault="00810102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</w:rPr>
            </w:pP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君人者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誠能見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可欲，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則思知足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以自戒；將有作，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則思知止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以安人；念高危，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則思謙沖而自牧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；懼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滿溢，則思江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海下百川；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樂盤遊，則思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三驅以為度；憂懈怠，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則思慎始而敬終；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慮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壅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蔽，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則思虛心以納下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；想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讒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邪，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則思正身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以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黜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惡；恩所加，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則思無因喜以謬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賞；罰所及，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則思無因怒而濫刑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。總此十思，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弘茲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九德。簡能而任之，擇善而從之，則智者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盡其謀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，勇者竭其力，仁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者播其惠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，信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者效其忠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文武爭馳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，君臣無事，可以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盡豫遊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之樂，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可以養松喬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之壽，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鳴琴垂拱，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不言而化。</w:t>
            </w:r>
          </w:p>
          <w:p w:rsidR="00810102" w:rsidRPr="007A023C" w:rsidRDefault="00810102" w:rsidP="004B5DC4">
            <w:pPr>
              <w:adjustRightInd w:val="0"/>
              <w:snapToGrid w:val="0"/>
              <w:spacing w:line="360" w:lineRule="atLeast"/>
              <w:rPr>
                <w:rFonts w:eastAsia="標楷體"/>
                <w:b/>
                <w:sz w:val="22"/>
              </w:rPr>
            </w:pPr>
            <w:r w:rsidRPr="007A023C">
              <w:rPr>
                <w:rFonts w:eastAsia="標楷體" w:hint="eastAsia"/>
                <w:b/>
                <w:sz w:val="22"/>
                <w:szCs w:val="22"/>
              </w:rPr>
              <w:t>材料</w:t>
            </w:r>
            <w:r w:rsidRPr="007A023C">
              <w:rPr>
                <w:rFonts w:eastAsia="標楷體"/>
                <w:b/>
                <w:sz w:val="22"/>
                <w:szCs w:val="22"/>
              </w:rPr>
              <w:t>(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乙</w:t>
            </w:r>
            <w:r w:rsidRPr="007A023C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810102" w:rsidRPr="007A023C" w:rsidRDefault="00810102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b/>
                <w:spacing w:val="20"/>
                <w:sz w:val="22"/>
              </w:rPr>
            </w:pP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朕聞晉武帝自平吳已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後，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務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在驕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奢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，不復留心治政。何曾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退朝謂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其子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劭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曰：「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吾每見主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上不論經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國遠圖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，但說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平生常語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，此非貽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厥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子孫者，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爾身猶可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以免。」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指諸孫曰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：「此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等必遇亂死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。」及孫綏，果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為淫刑所戮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。前史美之，以為明於先見；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朕意不然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，謂曾之不忠，其罪大矣！夫為人臣，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當進思盡忠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退思補過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將順其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美，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匡救其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惡。所以共為治也。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曾位極臺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司，名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器崇重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，當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直辭正諫，論道佐時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今乃退有後言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，進無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廷諍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，以為明智，不亦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謬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乎！</w:t>
            </w:r>
          </w:p>
        </w:tc>
      </w:tr>
    </w:tbl>
    <w:p w:rsidR="00810102" w:rsidRPr="009907C1" w:rsidRDefault="00810102" w:rsidP="00810102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color w:val="FF0000"/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  <w:r>
        <w:rPr>
          <w:color w:val="FF0000"/>
          <w:sz w:val="22"/>
        </w:rPr>
        <w:tab/>
      </w:r>
    </w:p>
    <w:p w:rsidR="00810102" w:rsidRPr="009907C1" w:rsidRDefault="00810102" w:rsidP="00810102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(</w:t>
      </w:r>
      <w:r w:rsidRPr="009907C1">
        <w:rPr>
          <w:rFonts w:ascii="標楷體" w:eastAsia="標楷體" w:hAnsi="標楷體" w:hint="eastAsia"/>
          <w:color w:val="FF0000"/>
          <w:sz w:val="22"/>
        </w:rPr>
        <w:t>此題有多種歸納方式，但須具備條理與系統，</w:t>
      </w:r>
      <w:proofErr w:type="gramStart"/>
      <w:r w:rsidRPr="009907C1">
        <w:rPr>
          <w:rFonts w:ascii="標楷體" w:eastAsia="標楷體" w:hAnsi="標楷體" w:hint="eastAsia"/>
          <w:color w:val="FF0000"/>
          <w:sz w:val="22"/>
        </w:rPr>
        <w:t>下舉</w:t>
      </w:r>
      <w:proofErr w:type="gramEnd"/>
      <w:r w:rsidRPr="009907C1">
        <w:rPr>
          <w:rFonts w:ascii="標楷體" w:eastAsia="標楷體" w:hAnsi="標楷體" w:hint="eastAsia"/>
          <w:color w:val="FF0000"/>
          <w:sz w:val="22"/>
        </w:rPr>
        <w:t>二例提供參考</w:t>
      </w:r>
      <w:r w:rsidRPr="009907C1">
        <w:rPr>
          <w:rFonts w:ascii="Times New Roman" w:hAnsi="Times New Roman" w:hint="eastAsia"/>
          <w:color w:val="FF0000"/>
          <w:sz w:val="22"/>
        </w:rPr>
        <w:t>)</w:t>
      </w:r>
    </w:p>
    <w:p w:rsidR="00810102" w:rsidRPr="009907C1" w:rsidRDefault="00810102" w:rsidP="00810102">
      <w:pPr>
        <w:pStyle w:val="a3"/>
        <w:numPr>
          <w:ilvl w:val="1"/>
          <w:numId w:val="2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「十思」可概括為五項：</w:t>
      </w:r>
    </w:p>
    <w:p w:rsidR="00810102" w:rsidRPr="009907C1" w:rsidRDefault="00810102" w:rsidP="00810102">
      <w:pPr>
        <w:pStyle w:val="a3"/>
        <w:numPr>
          <w:ilvl w:val="2"/>
          <w:numId w:val="3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新細明體"/>
          <w:color w:val="FF0000"/>
          <w:sz w:val="22"/>
        </w:rPr>
      </w:pPr>
      <w:proofErr w:type="gramStart"/>
      <w:r w:rsidRPr="009907C1">
        <w:rPr>
          <w:rFonts w:ascii="Times New Roman" w:hAnsi="新細明體" w:hint="eastAsia"/>
          <w:color w:val="FF0000"/>
          <w:sz w:val="22"/>
        </w:rPr>
        <w:t>知止知足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：於個人欲望、興建工程之事，應戒</w:t>
      </w:r>
      <w:proofErr w:type="gramStart"/>
      <w:r w:rsidRPr="009907C1">
        <w:rPr>
          <w:rFonts w:ascii="Times New Roman" w:hAnsi="新細明體" w:hint="eastAsia"/>
          <w:color w:val="FF0000"/>
          <w:sz w:val="22"/>
        </w:rPr>
        <w:t>奢侈擾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民</w:t>
      </w:r>
    </w:p>
    <w:p w:rsidR="00810102" w:rsidRPr="009907C1" w:rsidRDefault="00810102" w:rsidP="00810102">
      <w:pPr>
        <w:pStyle w:val="a3"/>
        <w:numPr>
          <w:ilvl w:val="2"/>
          <w:numId w:val="3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新細明體"/>
          <w:color w:val="FF0000"/>
          <w:sz w:val="22"/>
        </w:rPr>
      </w:pPr>
      <w:r w:rsidRPr="009907C1">
        <w:rPr>
          <w:rFonts w:ascii="Times New Roman" w:hAnsi="新細明體" w:hint="eastAsia"/>
          <w:color w:val="FF0000"/>
          <w:sz w:val="22"/>
        </w:rPr>
        <w:t>謙沖包容：要避免位</w:t>
      </w:r>
      <w:proofErr w:type="gramStart"/>
      <w:r w:rsidRPr="009907C1">
        <w:rPr>
          <w:rFonts w:ascii="Times New Roman" w:hAnsi="新細明體" w:hint="eastAsia"/>
          <w:color w:val="FF0000"/>
          <w:sz w:val="22"/>
        </w:rPr>
        <w:t>高勢危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、驕矜自滿，應有謙沖包容心胸</w:t>
      </w:r>
    </w:p>
    <w:p w:rsidR="00810102" w:rsidRPr="009907C1" w:rsidRDefault="00810102" w:rsidP="00810102">
      <w:pPr>
        <w:pStyle w:val="a3"/>
        <w:numPr>
          <w:ilvl w:val="2"/>
          <w:numId w:val="3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新細明體"/>
          <w:color w:val="FF0000"/>
          <w:sz w:val="22"/>
        </w:rPr>
      </w:pPr>
      <w:proofErr w:type="gramStart"/>
      <w:r w:rsidRPr="009907C1">
        <w:rPr>
          <w:rFonts w:ascii="Times New Roman" w:hAnsi="新細明體" w:hint="eastAsia"/>
          <w:color w:val="FF0000"/>
          <w:sz w:val="22"/>
        </w:rPr>
        <w:t>節遊勤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政：於遊樂，戒</w:t>
      </w:r>
      <w:proofErr w:type="gramStart"/>
      <w:r w:rsidRPr="009907C1">
        <w:rPr>
          <w:rFonts w:ascii="Times New Roman" w:hAnsi="新細明體" w:hint="eastAsia"/>
          <w:color w:val="FF0000"/>
          <w:sz w:val="22"/>
        </w:rPr>
        <w:t>耽溺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縱欲；凡事應有始有終，勿因</w:t>
      </w:r>
      <w:proofErr w:type="gramStart"/>
      <w:r w:rsidRPr="009907C1">
        <w:rPr>
          <w:rFonts w:ascii="Times New Roman" w:hAnsi="新細明體" w:hint="eastAsia"/>
          <w:color w:val="FF0000"/>
          <w:sz w:val="22"/>
        </w:rPr>
        <w:t>惰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害事</w:t>
      </w:r>
    </w:p>
    <w:p w:rsidR="00810102" w:rsidRPr="009907C1" w:rsidRDefault="00810102" w:rsidP="00810102">
      <w:pPr>
        <w:pStyle w:val="a3"/>
        <w:numPr>
          <w:ilvl w:val="2"/>
          <w:numId w:val="3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新細明體"/>
          <w:color w:val="FF0000"/>
          <w:sz w:val="22"/>
        </w:rPr>
      </w:pPr>
      <w:r w:rsidRPr="009907C1">
        <w:rPr>
          <w:rFonts w:ascii="Times New Roman" w:hAnsi="新細明體" w:hint="eastAsia"/>
          <w:color w:val="FF0000"/>
          <w:sz w:val="22"/>
        </w:rPr>
        <w:t>納諫</w:t>
      </w:r>
      <w:proofErr w:type="gramStart"/>
      <w:r w:rsidRPr="009907C1">
        <w:rPr>
          <w:rFonts w:ascii="Times New Roman" w:hAnsi="新細明體" w:hint="eastAsia"/>
          <w:color w:val="FF0000"/>
          <w:sz w:val="22"/>
        </w:rPr>
        <w:t>黜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惡：應虛心納諫、端正己身，避免遭小人及讒言蒙蔽</w:t>
      </w:r>
    </w:p>
    <w:p w:rsidR="00810102" w:rsidRPr="009907C1" w:rsidRDefault="00810102" w:rsidP="00810102">
      <w:pPr>
        <w:pStyle w:val="a3"/>
        <w:numPr>
          <w:ilvl w:val="2"/>
          <w:numId w:val="3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新細明體"/>
          <w:color w:val="FF0000"/>
          <w:sz w:val="22"/>
        </w:rPr>
      </w:pPr>
      <w:proofErr w:type="gramStart"/>
      <w:r w:rsidRPr="009907C1">
        <w:rPr>
          <w:rFonts w:ascii="Times New Roman" w:hAnsi="新細明體" w:hint="eastAsia"/>
          <w:color w:val="FF0000"/>
          <w:sz w:val="22"/>
        </w:rPr>
        <w:t>謹賞慎罰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：應避用私人情感決定賞罰內容，戒賞罰不公</w:t>
      </w:r>
    </w:p>
    <w:p w:rsidR="00810102" w:rsidRPr="009907C1" w:rsidRDefault="00810102" w:rsidP="00810102">
      <w:pPr>
        <w:pStyle w:val="a3"/>
        <w:numPr>
          <w:ilvl w:val="1"/>
          <w:numId w:val="2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「十思」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可析為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三方面：</w:t>
      </w:r>
    </w:p>
    <w:p w:rsidR="00810102" w:rsidRPr="009907C1" w:rsidRDefault="00810102" w:rsidP="00810102">
      <w:pPr>
        <w:pStyle w:val="a3"/>
        <w:numPr>
          <w:ilvl w:val="3"/>
          <w:numId w:val="4"/>
        </w:numPr>
        <w:adjustRightInd w:val="0"/>
        <w:snapToGrid w:val="0"/>
        <w:spacing w:line="360" w:lineRule="atLeast"/>
        <w:ind w:leftChars="0" w:left="1418"/>
        <w:jc w:val="both"/>
        <w:rPr>
          <w:rFonts w:ascii="Times New Roman" w:hAnsi="新細明體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克制欲望</w:t>
      </w:r>
      <w:r w:rsidRPr="009907C1">
        <w:rPr>
          <w:rFonts w:ascii="Times New Roman" w:hAnsi="新細明體" w:hint="eastAsia"/>
          <w:color w:val="FF0000"/>
          <w:sz w:val="22"/>
        </w:rPr>
        <w:t>：「</w:t>
      </w:r>
      <w:r w:rsidRPr="009907C1">
        <w:rPr>
          <w:rFonts w:ascii="Times New Roman" w:hAnsi="Times New Roman" w:hint="eastAsia"/>
          <w:color w:val="FF0000"/>
          <w:sz w:val="22"/>
        </w:rPr>
        <w:t>知足、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知止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、三驅</w:t>
      </w:r>
      <w:r w:rsidRPr="009907C1">
        <w:rPr>
          <w:rFonts w:ascii="Times New Roman" w:hAnsi="新細明體" w:hint="eastAsia"/>
          <w:color w:val="FF0000"/>
          <w:sz w:val="22"/>
        </w:rPr>
        <w:t>」</w:t>
      </w:r>
      <w:r w:rsidRPr="009907C1">
        <w:rPr>
          <w:rFonts w:ascii="Times New Roman" w:hAnsi="Times New Roman" w:hint="eastAsia"/>
          <w:color w:val="FF0000"/>
          <w:sz w:val="22"/>
        </w:rPr>
        <w:t>，</w:t>
      </w:r>
      <w:r w:rsidRPr="009907C1">
        <w:rPr>
          <w:rFonts w:ascii="Times New Roman" w:hAnsi="新細明體" w:hint="eastAsia"/>
          <w:color w:val="FF0000"/>
          <w:sz w:val="22"/>
        </w:rPr>
        <w:t>欲望、興建、遊樂，應戒</w:t>
      </w:r>
      <w:proofErr w:type="gramStart"/>
      <w:r w:rsidRPr="009907C1">
        <w:rPr>
          <w:rFonts w:ascii="Times New Roman" w:hAnsi="新細明體" w:hint="eastAsia"/>
          <w:color w:val="FF0000"/>
          <w:sz w:val="22"/>
        </w:rPr>
        <w:t>耽溺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縱欲、</w:t>
      </w:r>
      <w:proofErr w:type="gramStart"/>
      <w:r w:rsidRPr="009907C1">
        <w:rPr>
          <w:rFonts w:ascii="Times New Roman" w:hAnsi="新細明體" w:hint="eastAsia"/>
          <w:color w:val="FF0000"/>
          <w:sz w:val="22"/>
        </w:rPr>
        <w:t>奢侈擾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民</w:t>
      </w:r>
    </w:p>
    <w:p w:rsidR="00810102" w:rsidRPr="009907C1" w:rsidRDefault="00810102" w:rsidP="00810102">
      <w:pPr>
        <w:pStyle w:val="a3"/>
        <w:numPr>
          <w:ilvl w:val="3"/>
          <w:numId w:val="4"/>
        </w:numPr>
        <w:adjustRightInd w:val="0"/>
        <w:snapToGrid w:val="0"/>
        <w:spacing w:line="360" w:lineRule="atLeast"/>
        <w:ind w:leftChars="0" w:left="1418"/>
        <w:jc w:val="both"/>
        <w:rPr>
          <w:rFonts w:ascii="Times New Roman" w:hAnsi="新細明體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道德修養</w:t>
      </w:r>
      <w:r w:rsidRPr="009907C1">
        <w:rPr>
          <w:rFonts w:ascii="Times New Roman" w:hAnsi="新細明體" w:hint="eastAsia"/>
          <w:color w:val="FF0000"/>
          <w:sz w:val="22"/>
        </w:rPr>
        <w:t>：「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謙下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、正身</w:t>
      </w:r>
      <w:r w:rsidRPr="009907C1">
        <w:rPr>
          <w:rFonts w:ascii="Times New Roman" w:hAnsi="新細明體" w:hint="eastAsia"/>
          <w:color w:val="FF0000"/>
          <w:sz w:val="22"/>
        </w:rPr>
        <w:t>」，為</w:t>
      </w:r>
      <w:proofErr w:type="gramStart"/>
      <w:r w:rsidRPr="009907C1">
        <w:rPr>
          <w:rFonts w:ascii="Times New Roman" w:hAnsi="新細明體" w:hint="eastAsia"/>
          <w:color w:val="FF0000"/>
          <w:sz w:val="22"/>
        </w:rPr>
        <w:t>免位高勢危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、驕矜自滿，應謙沖包容、虛心納諫、端正己身，以免小人讒言蒙蔽</w:t>
      </w:r>
    </w:p>
    <w:p w:rsidR="00810102" w:rsidRPr="009907C1" w:rsidRDefault="00810102" w:rsidP="00810102">
      <w:pPr>
        <w:pStyle w:val="a3"/>
        <w:numPr>
          <w:ilvl w:val="3"/>
          <w:numId w:val="4"/>
        </w:numPr>
        <w:adjustRightInd w:val="0"/>
        <w:snapToGrid w:val="0"/>
        <w:spacing w:line="360" w:lineRule="atLeast"/>
        <w:ind w:leftChars="0" w:left="1418"/>
        <w:jc w:val="both"/>
        <w:rPr>
          <w:rFonts w:ascii="Times New Roman" w:hAnsi="新細明體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施政原則</w:t>
      </w:r>
      <w:r w:rsidRPr="009907C1">
        <w:rPr>
          <w:rFonts w:ascii="Times New Roman" w:hAnsi="新細明體" w:hint="eastAsia"/>
          <w:color w:val="FF0000"/>
          <w:sz w:val="22"/>
        </w:rPr>
        <w:t>：「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慎始敬終、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賞罰公正</w:t>
      </w:r>
      <w:r w:rsidRPr="009907C1">
        <w:rPr>
          <w:rFonts w:ascii="Times New Roman" w:hAnsi="新細明體" w:hint="eastAsia"/>
          <w:color w:val="FF0000"/>
          <w:sz w:val="22"/>
        </w:rPr>
        <w:t>」</w:t>
      </w:r>
      <w:r w:rsidRPr="009907C1">
        <w:rPr>
          <w:rFonts w:ascii="Times New Roman" w:hAnsi="Times New Roman" w:hint="eastAsia"/>
          <w:color w:val="FF0000"/>
          <w:sz w:val="22"/>
        </w:rPr>
        <w:t>，</w:t>
      </w:r>
      <w:r w:rsidRPr="009907C1">
        <w:rPr>
          <w:rFonts w:ascii="Times New Roman" w:hAnsi="新細明體" w:hint="eastAsia"/>
          <w:color w:val="FF0000"/>
          <w:sz w:val="22"/>
        </w:rPr>
        <w:t>凡事應力求有始有終，勿</w:t>
      </w:r>
      <w:proofErr w:type="gramStart"/>
      <w:r w:rsidRPr="009907C1">
        <w:rPr>
          <w:rFonts w:ascii="Times New Roman" w:hAnsi="新細明體" w:hint="eastAsia"/>
          <w:color w:val="FF0000"/>
          <w:sz w:val="22"/>
        </w:rPr>
        <w:t>懈怠害事</w:t>
      </w:r>
      <w:proofErr w:type="gramEnd"/>
      <w:r w:rsidRPr="009907C1">
        <w:rPr>
          <w:rFonts w:ascii="Times New Roman" w:hAnsi="新細明體" w:hint="eastAsia"/>
          <w:color w:val="FF0000"/>
          <w:sz w:val="22"/>
        </w:rPr>
        <w:t>；避私人情感決定賞罰而不公。</w:t>
      </w:r>
    </w:p>
    <w:p w:rsidR="00810102" w:rsidRPr="009907C1" w:rsidRDefault="00810102" w:rsidP="00810102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100" w:after="360" w:line="360" w:lineRule="atLeast"/>
        <w:ind w:leftChars="0" w:left="426" w:hanging="426"/>
        <w:jc w:val="both"/>
        <w:rPr>
          <w:bCs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魏徵及何曾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諫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君的態度大不相同。魏徵一本忠誠規諫君主，無畏「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批逆鱗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」之舉是否會招致殺身之禍；何曾則尸位素餐，不僅未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直辭進諫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，還以明哲保身之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道示子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，非忠臣當為。唐太宗理應較認同魏徵的作為，因他於文中批評何曾不忠，認為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人臣當盡忠匡惡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，勇於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廷諍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，然何曾行為荒謬，與魏徵大相逕庭，莫怪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太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宗直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讚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魏徵為明照得失的「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人鏡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」。</w:t>
      </w:r>
    </w:p>
    <w:p w:rsidR="008604D2" w:rsidRPr="00810102" w:rsidRDefault="008604D2"/>
    <w:sectPr w:rsidR="008604D2" w:rsidRPr="00810102" w:rsidSect="008101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30F0"/>
    <w:multiLevelType w:val="hybridMultilevel"/>
    <w:tmpl w:val="2C4CBB3E"/>
    <w:lvl w:ilvl="0" w:tplc="E31C26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145EB92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59561C"/>
    <w:multiLevelType w:val="hybridMultilevel"/>
    <w:tmpl w:val="5D4E1270"/>
    <w:lvl w:ilvl="0" w:tplc="E31C26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CDAE14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232CBD"/>
    <w:multiLevelType w:val="hybridMultilevel"/>
    <w:tmpl w:val="2FD09AD4"/>
    <w:lvl w:ilvl="0" w:tplc="E31C26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CDAE14A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411A29"/>
    <w:multiLevelType w:val="hybridMultilevel"/>
    <w:tmpl w:val="9FBA527C"/>
    <w:lvl w:ilvl="0" w:tplc="B0F08F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02"/>
    <w:rsid w:val="00810102"/>
    <w:rsid w:val="008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02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0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2015-10-02T06:41:00Z</dcterms:created>
  <dcterms:modified xsi:type="dcterms:W3CDTF">2015-10-02T06:43:00Z</dcterms:modified>
</cp:coreProperties>
</file>