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A40" w:rsidRPr="00090A40" w:rsidRDefault="00090A40" w:rsidP="00090A40">
      <w:pPr>
        <w:adjustRightInd w:val="0"/>
        <w:snapToGrid w:val="0"/>
        <w:spacing w:beforeLines="50" w:before="180" w:line="360" w:lineRule="atLeast"/>
        <w:rPr>
          <w:rFonts w:eastAsia="標楷體"/>
          <w:b/>
          <w:sz w:val="22"/>
        </w:rPr>
      </w:pPr>
      <w:bookmarkStart w:id="0" w:name="_GoBack"/>
      <w:bookmarkEnd w:id="0"/>
      <w:r w:rsidRPr="00090A40">
        <w:rPr>
          <w:rFonts w:eastAsia="標楷體" w:hint="eastAsia"/>
          <w:b/>
          <w:sz w:val="22"/>
        </w:rPr>
        <w:t>勸和論</w:t>
      </w:r>
    </w:p>
    <w:p w:rsidR="00090A40" w:rsidRPr="007A023C" w:rsidRDefault="00090A40" w:rsidP="00090A40">
      <w:pPr>
        <w:adjustRightInd w:val="0"/>
        <w:snapToGrid w:val="0"/>
        <w:spacing w:line="360" w:lineRule="atLeast"/>
        <w:ind w:firstLineChars="177" w:firstLine="389"/>
        <w:rPr>
          <w:sz w:val="22"/>
          <w:szCs w:val="22"/>
        </w:rPr>
      </w:pPr>
      <w:r w:rsidRPr="007A023C">
        <w:rPr>
          <w:rFonts w:hint="eastAsia"/>
          <w:sz w:val="22"/>
          <w:szCs w:val="22"/>
        </w:rPr>
        <w:t>閱讀框線內文字後，回答下列問題：</w:t>
      </w:r>
    </w:p>
    <w:p w:rsidR="00090A40" w:rsidRPr="007A023C" w:rsidRDefault="00090A40" w:rsidP="00090A40">
      <w:pPr>
        <w:pStyle w:val="a3"/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360" w:lineRule="atLeast"/>
        <w:ind w:leftChars="0" w:left="426" w:hanging="426"/>
        <w:jc w:val="both"/>
        <w:textAlignment w:val="bottom"/>
        <w:rPr>
          <w:rFonts w:ascii="Times New Roman" w:hAnsi="Times New Roman"/>
          <w:kern w:val="0"/>
          <w:sz w:val="22"/>
        </w:rPr>
      </w:pPr>
      <w:r w:rsidRPr="007A023C">
        <w:rPr>
          <w:rFonts w:hint="eastAsia"/>
          <w:sz w:val="22"/>
        </w:rPr>
        <w:t>《說文解字》解釋「友」字，「从二又</w:t>
      </w:r>
      <w:r w:rsidRPr="007A023C">
        <w:rPr>
          <w:rFonts w:hint="eastAsia"/>
          <w:sz w:val="22"/>
        </w:rPr>
        <w:t>(</w:t>
      </w:r>
      <w:r w:rsidRPr="007A023C">
        <w:rPr>
          <w:rFonts w:hint="eastAsia"/>
          <w:sz w:val="22"/>
        </w:rPr>
        <w:t>手</w:t>
      </w:r>
      <w:r w:rsidRPr="007A023C">
        <w:rPr>
          <w:rFonts w:hint="eastAsia"/>
          <w:sz w:val="22"/>
        </w:rPr>
        <w:t>)</w:t>
      </w:r>
      <w:r w:rsidRPr="007A023C">
        <w:rPr>
          <w:rFonts w:hint="eastAsia"/>
          <w:sz w:val="22"/>
        </w:rPr>
        <w:t>，相交友也」；而「朋」則是「</w:t>
      </w:r>
      <w:proofErr w:type="gramStart"/>
      <w:r w:rsidRPr="007A023C">
        <w:rPr>
          <w:rFonts w:hint="eastAsia"/>
          <w:sz w:val="22"/>
        </w:rPr>
        <w:t>古鳳字</w:t>
      </w:r>
      <w:proofErr w:type="gramEnd"/>
      <w:r w:rsidRPr="007A023C">
        <w:rPr>
          <w:rFonts w:hint="eastAsia"/>
          <w:sz w:val="22"/>
        </w:rPr>
        <w:t>」，「鳳飛，羣鳥从以萬數」，故引申為「朋黨」之意。作者對「朋友」的詮釋顯然與《說文解字》有極大的落差，試問作者為何如此解釋？</w:t>
      </w:r>
      <w:r w:rsidRPr="007A023C">
        <w:rPr>
          <w:rFonts w:ascii="Times New Roman" w:hAnsi="Times New Roman"/>
          <w:kern w:val="0"/>
          <w:sz w:val="22"/>
        </w:rPr>
        <w:t>(</w:t>
      </w:r>
      <w:r w:rsidRPr="007A023C">
        <w:rPr>
          <w:rFonts w:ascii="Times New Roman" w:hAnsi="Times New Roman" w:hint="eastAsia"/>
          <w:kern w:val="0"/>
          <w:sz w:val="22"/>
        </w:rPr>
        <w:t>6</w:t>
      </w:r>
      <w:r w:rsidRPr="007A023C">
        <w:rPr>
          <w:rFonts w:ascii="Times New Roman" w:hAnsi="Times New Roman" w:hint="eastAsia"/>
          <w:kern w:val="0"/>
          <w:sz w:val="22"/>
        </w:rPr>
        <w:t>分</w:t>
      </w:r>
      <w:r w:rsidRPr="007A023C">
        <w:rPr>
          <w:rFonts w:ascii="Times New Roman" w:hAnsi="Times New Roman"/>
          <w:kern w:val="0"/>
          <w:sz w:val="22"/>
        </w:rPr>
        <w:t>)</w:t>
      </w:r>
    </w:p>
    <w:p w:rsidR="00090A40" w:rsidRPr="007A023C" w:rsidRDefault="00090A40" w:rsidP="00090A40">
      <w:pPr>
        <w:pStyle w:val="a3"/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360" w:lineRule="atLeast"/>
        <w:ind w:leftChars="0" w:left="426" w:hanging="426"/>
        <w:jc w:val="both"/>
        <w:textAlignment w:val="bottom"/>
        <w:rPr>
          <w:rFonts w:ascii="Times New Roman" w:hAnsi="Times New Roman"/>
          <w:kern w:val="0"/>
          <w:sz w:val="22"/>
        </w:rPr>
      </w:pPr>
      <w:r w:rsidRPr="007A023C">
        <w:rPr>
          <w:rFonts w:ascii="Times New Roman" w:hAnsi="Times New Roman" w:hint="eastAsia"/>
          <w:kern w:val="0"/>
          <w:sz w:val="22"/>
        </w:rPr>
        <w:t>依據下文，作者運用那些層次勸和？</w:t>
      </w:r>
      <w:r w:rsidRPr="007A023C">
        <w:rPr>
          <w:rFonts w:ascii="Times New Roman" w:hAnsi="Times New Roman"/>
          <w:kern w:val="0"/>
          <w:sz w:val="22"/>
        </w:rPr>
        <w:t>(</w:t>
      </w:r>
      <w:r w:rsidRPr="007A023C">
        <w:rPr>
          <w:rFonts w:ascii="Times New Roman" w:hAnsi="Times New Roman" w:hint="eastAsia"/>
          <w:kern w:val="0"/>
          <w:sz w:val="22"/>
        </w:rPr>
        <w:t>12</w:t>
      </w:r>
      <w:r w:rsidRPr="007A023C">
        <w:rPr>
          <w:rFonts w:ascii="Times New Roman" w:hAnsi="Times New Roman" w:hint="eastAsia"/>
          <w:kern w:val="0"/>
          <w:sz w:val="22"/>
        </w:rPr>
        <w:t>分</w:t>
      </w:r>
      <w:r w:rsidRPr="007A023C">
        <w:rPr>
          <w:rFonts w:ascii="Times New Roman" w:hAnsi="Times New Roman"/>
          <w:kern w:val="0"/>
          <w:sz w:val="22"/>
        </w:rPr>
        <w:t>)</w:t>
      </w:r>
    </w:p>
    <w:p w:rsidR="00090A40" w:rsidRPr="007A023C" w:rsidRDefault="00090A40" w:rsidP="00090A40">
      <w:pPr>
        <w:adjustRightInd w:val="0"/>
        <w:snapToGrid w:val="0"/>
        <w:spacing w:line="360" w:lineRule="atLeast"/>
        <w:ind w:firstLineChars="177" w:firstLine="389"/>
        <w:rPr>
          <w:sz w:val="22"/>
          <w:szCs w:val="22"/>
        </w:rPr>
      </w:pPr>
      <w:r w:rsidRPr="007A023C">
        <w:rPr>
          <w:rFonts w:hint="eastAsia"/>
          <w:sz w:val="22"/>
          <w:szCs w:val="22"/>
        </w:rPr>
        <w:t>答案必須標明</w:t>
      </w:r>
      <w:r w:rsidRPr="007A023C">
        <w:rPr>
          <w:sz w:val="22"/>
          <w:szCs w:val="22"/>
        </w:rPr>
        <w:t>(</w:t>
      </w:r>
      <w:proofErr w:type="gramStart"/>
      <w:r w:rsidRPr="007A023C">
        <w:rPr>
          <w:rFonts w:hint="eastAsia"/>
          <w:sz w:val="22"/>
          <w:szCs w:val="22"/>
        </w:rPr>
        <w:t>一</w:t>
      </w:r>
      <w:proofErr w:type="gramEnd"/>
      <w:r w:rsidRPr="007A023C">
        <w:rPr>
          <w:sz w:val="22"/>
          <w:szCs w:val="22"/>
        </w:rPr>
        <w:t>)(</w:t>
      </w:r>
      <w:r w:rsidRPr="007A023C">
        <w:rPr>
          <w:rFonts w:hint="eastAsia"/>
          <w:sz w:val="22"/>
          <w:szCs w:val="22"/>
        </w:rPr>
        <w:t>二</w:t>
      </w:r>
      <w:r w:rsidRPr="007A023C">
        <w:rPr>
          <w:sz w:val="22"/>
          <w:szCs w:val="22"/>
        </w:rPr>
        <w:t>)</w:t>
      </w:r>
      <w:r w:rsidRPr="007A023C">
        <w:rPr>
          <w:rFonts w:hint="eastAsia"/>
          <w:sz w:val="22"/>
          <w:szCs w:val="22"/>
        </w:rPr>
        <w:t>分列書寫。</w:t>
      </w:r>
      <w:r w:rsidRPr="007A023C">
        <w:rPr>
          <w:sz w:val="22"/>
          <w:szCs w:val="22"/>
        </w:rPr>
        <w:t>(</w:t>
      </w:r>
      <w:proofErr w:type="gramStart"/>
      <w:r w:rsidRPr="007A023C">
        <w:rPr>
          <w:rFonts w:hint="eastAsia"/>
          <w:sz w:val="22"/>
          <w:szCs w:val="22"/>
        </w:rPr>
        <w:t>一</w:t>
      </w:r>
      <w:proofErr w:type="gramEnd"/>
      <w:r w:rsidRPr="007A023C">
        <w:rPr>
          <w:sz w:val="22"/>
          <w:szCs w:val="22"/>
        </w:rPr>
        <w:t>)(</w:t>
      </w:r>
      <w:r w:rsidRPr="007A023C">
        <w:rPr>
          <w:rFonts w:hint="eastAsia"/>
          <w:sz w:val="22"/>
          <w:szCs w:val="22"/>
        </w:rPr>
        <w:t>二</w:t>
      </w:r>
      <w:r w:rsidRPr="007A023C">
        <w:rPr>
          <w:sz w:val="22"/>
          <w:szCs w:val="22"/>
        </w:rPr>
        <w:t>)</w:t>
      </w:r>
      <w:r w:rsidRPr="007A023C">
        <w:rPr>
          <w:rFonts w:hint="eastAsia"/>
          <w:sz w:val="22"/>
          <w:szCs w:val="22"/>
        </w:rPr>
        <w:t>合計文長限</w:t>
      </w:r>
      <w:r w:rsidRPr="007A023C">
        <w:rPr>
          <w:sz w:val="22"/>
          <w:szCs w:val="22"/>
        </w:rPr>
        <w:t>250~300</w:t>
      </w:r>
      <w:r w:rsidRPr="007A023C">
        <w:rPr>
          <w:rFonts w:hint="eastAsia"/>
          <w:sz w:val="22"/>
          <w:szCs w:val="22"/>
        </w:rPr>
        <w:t>字</w:t>
      </w:r>
      <w:r w:rsidRPr="007A023C">
        <w:rPr>
          <w:sz w:val="22"/>
          <w:szCs w:val="22"/>
        </w:rPr>
        <w:t>(</w:t>
      </w:r>
      <w:r w:rsidRPr="007A023C">
        <w:rPr>
          <w:rFonts w:hint="eastAsia"/>
          <w:sz w:val="22"/>
          <w:szCs w:val="22"/>
        </w:rPr>
        <w:t>約</w:t>
      </w:r>
      <w:r w:rsidRPr="007A023C">
        <w:rPr>
          <w:sz w:val="22"/>
          <w:szCs w:val="22"/>
        </w:rPr>
        <w:t>11~14</w:t>
      </w:r>
      <w:r w:rsidRPr="007A023C">
        <w:rPr>
          <w:rFonts w:hint="eastAsia"/>
          <w:sz w:val="22"/>
          <w:szCs w:val="22"/>
        </w:rPr>
        <w:t>行</w:t>
      </w:r>
      <w:r w:rsidRPr="007A023C">
        <w:rPr>
          <w:sz w:val="22"/>
          <w:szCs w:val="22"/>
        </w:rPr>
        <w:t>)</w:t>
      </w:r>
      <w:r w:rsidRPr="007A023C">
        <w:rPr>
          <w:rFonts w:hint="eastAsia"/>
          <w:sz w:val="22"/>
          <w:szCs w:val="22"/>
        </w:rPr>
        <w:t>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2"/>
      </w:tblGrid>
      <w:tr w:rsidR="00090A40" w:rsidRPr="007A023C" w:rsidTr="004B5DC4">
        <w:tc>
          <w:tcPr>
            <w:tcW w:w="5000" w:type="pct"/>
          </w:tcPr>
          <w:p w:rsidR="00090A40" w:rsidRPr="007A023C" w:rsidRDefault="00090A40" w:rsidP="004B5DC4">
            <w:pPr>
              <w:ind w:firstLine="480"/>
              <w:rPr>
                <w:rFonts w:ascii="標楷體" w:eastAsia="標楷體" w:hAnsi="標楷體"/>
                <w:sz w:val="22"/>
              </w:rPr>
            </w:pPr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夫人</w:t>
            </w:r>
            <w:proofErr w:type="gramStart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與禽各</w:t>
            </w:r>
            <w:proofErr w:type="gramEnd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為一類，</w:t>
            </w:r>
            <w:proofErr w:type="gramStart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邪與正</w:t>
            </w:r>
            <w:proofErr w:type="gramEnd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各為一類，此不可不分。</w:t>
            </w:r>
            <w:proofErr w:type="gramStart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乃同此</w:t>
            </w:r>
            <w:proofErr w:type="gramEnd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血氣，同此官</w:t>
            </w:r>
            <w:proofErr w:type="gramStart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骸</w:t>
            </w:r>
            <w:proofErr w:type="gramEnd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，同為國家之良民，同為鄉</w:t>
            </w:r>
            <w:proofErr w:type="gramStart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閭</w:t>
            </w:r>
            <w:proofErr w:type="gramEnd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之善人，</w:t>
            </w:r>
            <w:proofErr w:type="gramStart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無分土</w:t>
            </w:r>
            <w:proofErr w:type="gramEnd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，無</w:t>
            </w:r>
            <w:proofErr w:type="gramStart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分民，即子</w:t>
            </w:r>
            <w:proofErr w:type="gramEnd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夏所言「四海皆兄弟」是也，</w:t>
            </w:r>
            <w:proofErr w:type="gramStart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況</w:t>
            </w:r>
            <w:proofErr w:type="gramEnd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當共處</w:t>
            </w:r>
            <w:proofErr w:type="gramStart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隅？</w:t>
            </w:r>
            <w:proofErr w:type="gramStart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揆</w:t>
            </w:r>
            <w:proofErr w:type="gramEnd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諸</w:t>
            </w:r>
            <w:proofErr w:type="gramStart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出入相友之</w:t>
            </w:r>
            <w:proofErr w:type="gramEnd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義，即古聖賢所謂「</w:t>
            </w:r>
            <w:proofErr w:type="gramStart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同鄉共井</w:t>
            </w:r>
            <w:proofErr w:type="gramEnd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」者也。在字義，友從兩手，</w:t>
            </w:r>
            <w:proofErr w:type="gramStart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朋從兩肉</w:t>
            </w:r>
            <w:proofErr w:type="gramEnd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，是朋友如一身左右手，</w:t>
            </w:r>
            <w:proofErr w:type="gramStart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即吾身</w:t>
            </w:r>
            <w:proofErr w:type="gramEnd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之肉也。</w:t>
            </w:r>
            <w:proofErr w:type="gramStart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今試執塗人</w:t>
            </w:r>
            <w:proofErr w:type="gramEnd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而</w:t>
            </w:r>
            <w:proofErr w:type="gramStart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語之曰</w:t>
            </w:r>
            <w:proofErr w:type="gramEnd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：「</w:t>
            </w:r>
            <w:proofErr w:type="gramStart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爾其自戕</w:t>
            </w:r>
            <w:proofErr w:type="gramEnd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爾手！</w:t>
            </w:r>
            <w:proofErr w:type="gramStart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爾其自噬爾肉</w:t>
            </w:r>
            <w:proofErr w:type="gramEnd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！」鮮</w:t>
            </w:r>
            <w:proofErr w:type="gramStart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不拂然而怒，何今</w:t>
            </w:r>
            <w:proofErr w:type="gramEnd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分類至於此</w:t>
            </w:r>
            <w:proofErr w:type="gramStart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極</w:t>
            </w:r>
            <w:proofErr w:type="gramEnd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耶？</w:t>
            </w:r>
          </w:p>
          <w:p w:rsidR="00090A40" w:rsidRPr="007A023C" w:rsidRDefault="00090A40" w:rsidP="004B5DC4">
            <w:pPr>
              <w:ind w:firstLine="480"/>
              <w:rPr>
                <w:rFonts w:ascii="標楷體" w:eastAsia="標楷體" w:hAnsi="標楷體"/>
                <w:sz w:val="22"/>
              </w:rPr>
            </w:pPr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顧分類之害，甚於臺灣，</w:t>
            </w:r>
            <w:proofErr w:type="gramStart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屬尤甚於淡之新、</w:t>
            </w:r>
            <w:proofErr w:type="gramStart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艋</w:t>
            </w:r>
            <w:proofErr w:type="gramEnd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  <w:proofErr w:type="gramStart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為五方雜處，自林逆</w:t>
            </w:r>
            <w:proofErr w:type="gramStart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倡</w:t>
            </w:r>
            <w:proofErr w:type="gramEnd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亂以來，有分為閩、</w:t>
            </w:r>
            <w:proofErr w:type="gramStart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粵焉，</w:t>
            </w:r>
            <w:proofErr w:type="gramEnd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有分為</w:t>
            </w:r>
            <w:proofErr w:type="gramStart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漳</w:t>
            </w:r>
            <w:proofErr w:type="gramEnd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proofErr w:type="gramStart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泉焉。</w:t>
            </w:r>
            <w:proofErr w:type="gramEnd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閩、</w:t>
            </w:r>
            <w:proofErr w:type="gramStart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粵以其異省</w:t>
            </w:r>
            <w:proofErr w:type="gramEnd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也，</w:t>
            </w:r>
            <w:proofErr w:type="gramStart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漳</w:t>
            </w:r>
            <w:proofErr w:type="gramEnd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、泉以</w:t>
            </w:r>
            <w:proofErr w:type="gramStart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其異府</w:t>
            </w:r>
            <w:proofErr w:type="gramEnd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也。然同自</w:t>
            </w:r>
            <w:proofErr w:type="gramStart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內地播</w:t>
            </w:r>
            <w:proofErr w:type="gramEnd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遷而來，則同為</w:t>
            </w:r>
            <w:proofErr w:type="gramStart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人而已。今以</w:t>
            </w:r>
            <w:proofErr w:type="gramStart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異省、異府</w:t>
            </w:r>
            <w:proofErr w:type="gramEnd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若分</w:t>
            </w:r>
            <w:proofErr w:type="gramStart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畛</w:t>
            </w:r>
            <w:proofErr w:type="gramEnd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域，王法在所必</w:t>
            </w:r>
            <w:proofErr w:type="gramStart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誅</w:t>
            </w:r>
            <w:proofErr w:type="gramEnd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  <w:proofErr w:type="gramStart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矧</w:t>
            </w:r>
            <w:proofErr w:type="gramEnd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更同為一府，而亦有秦、越之異！是變本加厲，</w:t>
            </w:r>
            <w:proofErr w:type="gramStart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非奇而又奇者哉</w:t>
            </w:r>
            <w:proofErr w:type="gramEnd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？夫人未有不</w:t>
            </w:r>
            <w:proofErr w:type="gramStart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親其所親</w:t>
            </w:r>
            <w:proofErr w:type="gramEnd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，而能</w:t>
            </w:r>
            <w:proofErr w:type="gramStart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親其所疏</w:t>
            </w:r>
            <w:proofErr w:type="gramEnd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。同居</w:t>
            </w:r>
            <w:proofErr w:type="gramStart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府，猶同室之兄弟至親也，乃以同室而操</w:t>
            </w:r>
            <w:proofErr w:type="gramStart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戈</w:t>
            </w:r>
            <w:proofErr w:type="gramEnd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，</w:t>
            </w:r>
            <w:proofErr w:type="gramStart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更安能</w:t>
            </w:r>
            <w:proofErr w:type="gramEnd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由</w:t>
            </w:r>
            <w:proofErr w:type="gramStart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親及疏</w:t>
            </w:r>
            <w:proofErr w:type="gramEnd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，而</w:t>
            </w:r>
            <w:proofErr w:type="gramStart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親隔府之漳</w:t>
            </w:r>
            <w:proofErr w:type="gramEnd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人、</w:t>
            </w:r>
            <w:proofErr w:type="gramStart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親隔省</w:t>
            </w:r>
            <w:proofErr w:type="gramEnd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之</w:t>
            </w:r>
            <w:proofErr w:type="gramStart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粵人乎</w:t>
            </w:r>
            <w:proofErr w:type="gramEnd"/>
            <w:r w:rsidRPr="007A023C">
              <w:rPr>
                <w:rFonts w:ascii="標楷體" w:eastAsia="標楷體" w:hAnsi="標楷體" w:hint="eastAsia"/>
                <w:sz w:val="22"/>
                <w:szCs w:val="22"/>
              </w:rPr>
              <w:t>？</w:t>
            </w:r>
            <w:r w:rsidRPr="007A023C">
              <w:rPr>
                <w:rFonts w:hint="eastAsia"/>
                <w:kern w:val="0"/>
                <w:sz w:val="22"/>
                <w:szCs w:val="22"/>
              </w:rPr>
              <w:t>(</w:t>
            </w:r>
            <w:r w:rsidRPr="007A023C">
              <w:rPr>
                <w:rFonts w:hint="eastAsia"/>
                <w:kern w:val="0"/>
                <w:sz w:val="22"/>
                <w:szCs w:val="22"/>
              </w:rPr>
              <w:t>鄭用錫〈勸和論〉</w:t>
            </w:r>
            <w:r w:rsidRPr="007A023C">
              <w:rPr>
                <w:rFonts w:hint="eastAsia"/>
                <w:kern w:val="0"/>
                <w:sz w:val="22"/>
                <w:szCs w:val="22"/>
              </w:rPr>
              <w:t>)</w:t>
            </w:r>
          </w:p>
        </w:tc>
      </w:tr>
    </w:tbl>
    <w:p w:rsidR="00090A40" w:rsidRPr="009907C1" w:rsidRDefault="00090A40" w:rsidP="00090A40">
      <w:pPr>
        <w:tabs>
          <w:tab w:val="left" w:pos="660"/>
        </w:tabs>
        <w:adjustRightInd w:val="0"/>
        <w:snapToGrid w:val="0"/>
        <w:spacing w:line="360" w:lineRule="atLeast"/>
        <w:jc w:val="both"/>
        <w:rPr>
          <w:color w:val="FF0000"/>
          <w:kern w:val="0"/>
          <w:sz w:val="22"/>
        </w:rPr>
      </w:pPr>
      <w:r>
        <w:rPr>
          <w:rFonts w:ascii="新細明體" w:hAnsi="新細明體" w:hint="eastAsia"/>
          <w:color w:val="FF0000"/>
          <w:sz w:val="22"/>
        </w:rPr>
        <w:t>【參考答案】</w:t>
      </w:r>
    </w:p>
    <w:p w:rsidR="00090A40" w:rsidRPr="009907C1" w:rsidRDefault="00090A40" w:rsidP="00090A40">
      <w:pPr>
        <w:pStyle w:val="a3"/>
        <w:numPr>
          <w:ilvl w:val="0"/>
          <w:numId w:val="3"/>
        </w:numPr>
        <w:adjustRightInd w:val="0"/>
        <w:snapToGrid w:val="0"/>
        <w:spacing w:line="360" w:lineRule="atLeast"/>
        <w:ind w:leftChars="0" w:left="426" w:hanging="426"/>
        <w:jc w:val="both"/>
        <w:rPr>
          <w:rFonts w:ascii="Times New Roman" w:hAnsi="Times New Roman"/>
          <w:color w:val="FF0000"/>
          <w:kern w:val="0"/>
          <w:sz w:val="22"/>
        </w:rPr>
      </w:pPr>
      <w:r w:rsidRPr="009907C1">
        <w:rPr>
          <w:rFonts w:ascii="Times New Roman" w:hAnsi="Times New Roman" w:hint="eastAsia"/>
          <w:color w:val="FF0000"/>
          <w:kern w:val="0"/>
          <w:sz w:val="22"/>
        </w:rPr>
        <w:t>作者特意將</w:t>
      </w:r>
      <w:r w:rsidRPr="009907C1">
        <w:rPr>
          <w:rFonts w:hint="eastAsia"/>
          <w:color w:val="FF0000"/>
          <w:sz w:val="22"/>
        </w:rPr>
        <w:t>「友」和「朋」兩字引導至手足關係，強調至親相殘猶若</w:t>
      </w:r>
      <w:proofErr w:type="gramStart"/>
      <w:r w:rsidRPr="009907C1">
        <w:rPr>
          <w:rFonts w:hint="eastAsia"/>
          <w:color w:val="FF0000"/>
          <w:sz w:val="22"/>
        </w:rPr>
        <w:t>自食其肉</w:t>
      </w:r>
      <w:proofErr w:type="gramEnd"/>
      <w:r w:rsidRPr="009907C1">
        <w:rPr>
          <w:rFonts w:hint="eastAsia"/>
          <w:color w:val="FF0000"/>
          <w:sz w:val="22"/>
        </w:rPr>
        <w:t>，以此激發讀者的認同，從而勸誘以「和」為貴的道理，主張人我應放棄分化和爭鬥。</w:t>
      </w:r>
    </w:p>
    <w:p w:rsidR="00090A40" w:rsidRPr="009907C1" w:rsidRDefault="00090A40" w:rsidP="00090A40">
      <w:pPr>
        <w:pStyle w:val="a3"/>
        <w:numPr>
          <w:ilvl w:val="0"/>
          <w:numId w:val="3"/>
        </w:numPr>
        <w:adjustRightInd w:val="0"/>
        <w:snapToGrid w:val="0"/>
        <w:spacing w:line="360" w:lineRule="atLeast"/>
        <w:ind w:leftChars="0" w:left="426" w:hanging="426"/>
        <w:jc w:val="both"/>
        <w:rPr>
          <w:rFonts w:ascii="Times New Roman" w:hAnsi="Times New Roman"/>
          <w:color w:val="FF0000"/>
          <w:kern w:val="0"/>
          <w:sz w:val="22"/>
        </w:rPr>
      </w:pPr>
      <w:r w:rsidRPr="009907C1">
        <w:rPr>
          <w:rFonts w:ascii="Times New Roman" w:hAnsi="Times New Roman" w:hint="eastAsia"/>
          <w:color w:val="FF0000"/>
          <w:kern w:val="0"/>
          <w:sz w:val="22"/>
        </w:rPr>
        <w:t>本文勸和，依以下三個層次進行論述：</w:t>
      </w:r>
    </w:p>
    <w:p w:rsidR="00090A40" w:rsidRPr="009907C1" w:rsidRDefault="00090A40" w:rsidP="00090A40">
      <w:pPr>
        <w:pStyle w:val="a3"/>
        <w:numPr>
          <w:ilvl w:val="3"/>
          <w:numId w:val="1"/>
        </w:numPr>
        <w:ind w:leftChars="0" w:left="567"/>
        <w:rPr>
          <w:rFonts w:ascii="新細明體"/>
          <w:color w:val="FF0000"/>
          <w:sz w:val="22"/>
        </w:rPr>
      </w:pPr>
      <w:proofErr w:type="gramStart"/>
      <w:r w:rsidRPr="009907C1">
        <w:rPr>
          <w:rFonts w:ascii="Times New Roman" w:hAnsi="Times New Roman" w:hint="eastAsia"/>
          <w:color w:val="FF0000"/>
          <w:kern w:val="0"/>
          <w:sz w:val="22"/>
        </w:rPr>
        <w:t>同本同源</w:t>
      </w:r>
      <w:proofErr w:type="gramEnd"/>
      <w:r w:rsidRPr="009907C1">
        <w:rPr>
          <w:rFonts w:ascii="Times New Roman" w:hAnsi="Times New Roman" w:hint="eastAsia"/>
          <w:color w:val="FF0000"/>
          <w:kern w:val="0"/>
          <w:sz w:val="22"/>
        </w:rPr>
        <w:t>的事理：人類同種，</w:t>
      </w:r>
      <w:proofErr w:type="gramStart"/>
      <w:r w:rsidRPr="009907C1">
        <w:rPr>
          <w:rFonts w:ascii="Times New Roman" w:hAnsi="Times New Roman" w:hint="eastAsia"/>
          <w:color w:val="FF0000"/>
          <w:kern w:val="0"/>
          <w:sz w:val="22"/>
        </w:rPr>
        <w:t>不應區隔</w:t>
      </w:r>
      <w:proofErr w:type="gramEnd"/>
      <w:r w:rsidRPr="009907C1">
        <w:rPr>
          <w:rFonts w:ascii="Times New Roman" w:hAnsi="Times New Roman" w:hint="eastAsia"/>
          <w:color w:val="FF0000"/>
          <w:kern w:val="0"/>
          <w:sz w:val="22"/>
        </w:rPr>
        <w:t>分類，四海之大都能以兄弟相稱，更何況是「</w:t>
      </w:r>
      <w:proofErr w:type="gramStart"/>
      <w:r w:rsidRPr="009907C1">
        <w:rPr>
          <w:rFonts w:ascii="Times New Roman" w:hAnsi="Times New Roman" w:hint="eastAsia"/>
          <w:color w:val="FF0000"/>
          <w:kern w:val="0"/>
          <w:sz w:val="22"/>
        </w:rPr>
        <w:t>同鄉共井</w:t>
      </w:r>
      <w:proofErr w:type="gramEnd"/>
      <w:r w:rsidRPr="009907C1">
        <w:rPr>
          <w:rFonts w:ascii="Times New Roman" w:hAnsi="Times New Roman" w:hint="eastAsia"/>
          <w:color w:val="FF0000"/>
          <w:kern w:val="0"/>
          <w:sz w:val="22"/>
        </w:rPr>
        <w:t>」、共處</w:t>
      </w:r>
      <w:proofErr w:type="gramStart"/>
      <w:r w:rsidRPr="009907C1">
        <w:rPr>
          <w:rFonts w:ascii="Times New Roman" w:hAnsi="Times New Roman" w:hint="eastAsia"/>
          <w:color w:val="FF0000"/>
          <w:kern w:val="0"/>
          <w:sz w:val="22"/>
        </w:rPr>
        <w:t>一</w:t>
      </w:r>
      <w:proofErr w:type="gramEnd"/>
      <w:r w:rsidRPr="009907C1">
        <w:rPr>
          <w:rFonts w:ascii="Times New Roman" w:hAnsi="Times New Roman" w:hint="eastAsia"/>
          <w:color w:val="FF0000"/>
          <w:kern w:val="0"/>
          <w:sz w:val="22"/>
        </w:rPr>
        <w:t>隅的近鄰。</w:t>
      </w:r>
    </w:p>
    <w:p w:rsidR="00090A40" w:rsidRPr="009907C1" w:rsidRDefault="00090A40" w:rsidP="00090A40">
      <w:pPr>
        <w:pStyle w:val="a3"/>
        <w:numPr>
          <w:ilvl w:val="3"/>
          <w:numId w:val="1"/>
        </w:numPr>
        <w:ind w:leftChars="0" w:left="567"/>
        <w:rPr>
          <w:rFonts w:ascii="新細明體"/>
          <w:color w:val="FF0000"/>
          <w:sz w:val="22"/>
        </w:rPr>
      </w:pPr>
      <w:r w:rsidRPr="009907C1">
        <w:rPr>
          <w:rFonts w:ascii="新細明體" w:hAnsi="新細明體" w:hint="eastAsia"/>
          <w:color w:val="FF0000"/>
          <w:sz w:val="22"/>
        </w:rPr>
        <w:t>文字學引伸的同儕情感：作者藉朋友為「左右手」、「身之肉」的形容，強調人我關係如同一身，若彼此相殘，有如</w:t>
      </w:r>
      <w:proofErr w:type="gramStart"/>
      <w:r w:rsidRPr="009907C1">
        <w:rPr>
          <w:rFonts w:ascii="新細明體" w:hAnsi="新細明體" w:hint="eastAsia"/>
          <w:color w:val="FF0000"/>
          <w:sz w:val="22"/>
        </w:rPr>
        <w:t>自食其肉</w:t>
      </w:r>
      <w:proofErr w:type="gramEnd"/>
      <w:r w:rsidRPr="009907C1">
        <w:rPr>
          <w:rFonts w:ascii="新細明體" w:hAnsi="新細明體" w:hint="eastAsia"/>
          <w:color w:val="FF0000"/>
          <w:sz w:val="22"/>
        </w:rPr>
        <w:t>，實荒謬至極。</w:t>
      </w:r>
    </w:p>
    <w:p w:rsidR="00090A40" w:rsidRPr="009907C1" w:rsidRDefault="00090A40" w:rsidP="00090A40">
      <w:pPr>
        <w:pStyle w:val="a3"/>
        <w:numPr>
          <w:ilvl w:val="3"/>
          <w:numId w:val="1"/>
        </w:numPr>
        <w:ind w:leftChars="0" w:left="567"/>
        <w:rPr>
          <w:rFonts w:ascii="新細明體"/>
          <w:color w:val="FF0000"/>
          <w:sz w:val="22"/>
        </w:rPr>
      </w:pPr>
      <w:r w:rsidRPr="009907C1">
        <w:rPr>
          <w:rFonts w:ascii="Times New Roman" w:hAnsi="Times New Roman" w:hint="eastAsia"/>
          <w:color w:val="FF0000"/>
          <w:kern w:val="0"/>
          <w:sz w:val="22"/>
        </w:rPr>
        <w:t>地緣關係的認知：提出「</w:t>
      </w:r>
      <w:proofErr w:type="gramStart"/>
      <w:r w:rsidRPr="009907C1">
        <w:rPr>
          <w:rFonts w:ascii="Times New Roman" w:hAnsi="Times New Roman" w:hint="eastAsia"/>
          <w:color w:val="FF0000"/>
          <w:kern w:val="0"/>
          <w:sz w:val="22"/>
        </w:rPr>
        <w:t>異省、異府</w:t>
      </w:r>
      <w:proofErr w:type="gramEnd"/>
      <w:r w:rsidRPr="009907C1">
        <w:rPr>
          <w:rFonts w:ascii="Times New Roman" w:hAnsi="Times New Roman" w:hint="eastAsia"/>
          <w:color w:val="FF0000"/>
          <w:kern w:val="0"/>
          <w:sz w:val="22"/>
        </w:rPr>
        <w:t>若分</w:t>
      </w:r>
      <w:proofErr w:type="gramStart"/>
      <w:r w:rsidRPr="009907C1">
        <w:rPr>
          <w:rFonts w:ascii="Times New Roman" w:hAnsi="Times New Roman" w:hint="eastAsia"/>
          <w:color w:val="FF0000"/>
          <w:kern w:val="0"/>
          <w:sz w:val="22"/>
        </w:rPr>
        <w:t>畛</w:t>
      </w:r>
      <w:proofErr w:type="gramEnd"/>
      <w:r w:rsidRPr="009907C1">
        <w:rPr>
          <w:rFonts w:ascii="Times New Roman" w:hAnsi="Times New Roman" w:hint="eastAsia"/>
          <w:color w:val="FF0000"/>
          <w:kern w:val="0"/>
          <w:sz w:val="22"/>
        </w:rPr>
        <w:t>域，王法在所必</w:t>
      </w:r>
      <w:proofErr w:type="gramStart"/>
      <w:r w:rsidRPr="009907C1">
        <w:rPr>
          <w:rFonts w:ascii="Times New Roman" w:hAnsi="Times New Roman" w:hint="eastAsia"/>
          <w:color w:val="FF0000"/>
          <w:kern w:val="0"/>
          <w:sz w:val="22"/>
        </w:rPr>
        <w:t>誅</w:t>
      </w:r>
      <w:proofErr w:type="gramEnd"/>
      <w:r w:rsidRPr="009907C1">
        <w:rPr>
          <w:rFonts w:ascii="Times New Roman" w:hAnsi="Times New Roman" w:hint="eastAsia"/>
          <w:color w:val="FF0000"/>
          <w:kern w:val="0"/>
          <w:sz w:val="22"/>
        </w:rPr>
        <w:t>」的論點，人我雖然被冠以不同的</w:t>
      </w:r>
      <w:proofErr w:type="gramStart"/>
      <w:r w:rsidRPr="009907C1">
        <w:rPr>
          <w:rFonts w:ascii="Times New Roman" w:hAnsi="Times New Roman" w:hint="eastAsia"/>
          <w:color w:val="FF0000"/>
          <w:kern w:val="0"/>
          <w:sz w:val="22"/>
        </w:rPr>
        <w:t>省籍府別</w:t>
      </w:r>
      <w:proofErr w:type="gramEnd"/>
      <w:r w:rsidRPr="009907C1">
        <w:rPr>
          <w:rFonts w:ascii="Times New Roman" w:hAnsi="Times New Roman" w:hint="eastAsia"/>
          <w:color w:val="FF0000"/>
          <w:kern w:val="0"/>
          <w:sz w:val="22"/>
        </w:rPr>
        <w:t>，卻</w:t>
      </w:r>
      <w:proofErr w:type="gramStart"/>
      <w:r w:rsidRPr="009907C1">
        <w:rPr>
          <w:rFonts w:ascii="Times New Roman" w:hAnsi="Times New Roman" w:hint="eastAsia"/>
          <w:color w:val="FF0000"/>
          <w:kern w:val="0"/>
          <w:sz w:val="22"/>
        </w:rPr>
        <w:t>俱由內地播</w:t>
      </w:r>
      <w:proofErr w:type="gramEnd"/>
      <w:r w:rsidRPr="009907C1">
        <w:rPr>
          <w:rFonts w:ascii="Times New Roman" w:hAnsi="Times New Roman" w:hint="eastAsia"/>
          <w:color w:val="FF0000"/>
          <w:kern w:val="0"/>
          <w:sz w:val="22"/>
        </w:rPr>
        <w:t>遷而來，倘若同室操戈，自然無法</w:t>
      </w:r>
      <w:proofErr w:type="gramStart"/>
      <w:r w:rsidRPr="009907C1">
        <w:rPr>
          <w:rFonts w:ascii="Times New Roman" w:hAnsi="Times New Roman" w:hint="eastAsia"/>
          <w:color w:val="FF0000"/>
          <w:kern w:val="0"/>
          <w:sz w:val="22"/>
        </w:rPr>
        <w:t>親其所親</w:t>
      </w:r>
      <w:proofErr w:type="gramEnd"/>
      <w:r w:rsidRPr="009907C1">
        <w:rPr>
          <w:rFonts w:ascii="Times New Roman" w:hAnsi="Times New Roman" w:hint="eastAsia"/>
          <w:color w:val="FF0000"/>
          <w:kern w:val="0"/>
          <w:sz w:val="22"/>
        </w:rPr>
        <w:t>，遑論由親</w:t>
      </w:r>
      <w:proofErr w:type="gramStart"/>
      <w:r w:rsidRPr="009907C1">
        <w:rPr>
          <w:rFonts w:ascii="Times New Roman" w:hAnsi="Times New Roman" w:hint="eastAsia"/>
          <w:color w:val="FF0000"/>
          <w:kern w:val="0"/>
          <w:sz w:val="22"/>
        </w:rPr>
        <w:t>及疏地</w:t>
      </w:r>
      <w:proofErr w:type="gramEnd"/>
      <w:r w:rsidRPr="009907C1">
        <w:rPr>
          <w:rFonts w:ascii="Times New Roman" w:hAnsi="Times New Roman" w:hint="eastAsia"/>
          <w:color w:val="FF0000"/>
          <w:kern w:val="0"/>
          <w:sz w:val="22"/>
        </w:rPr>
        <w:t>關照他人。</w:t>
      </w:r>
      <w:r w:rsidRPr="009907C1">
        <w:rPr>
          <w:rFonts w:ascii="新細明體" w:hAnsi="新細明體"/>
          <w:color w:val="FF0000"/>
          <w:sz w:val="22"/>
        </w:rPr>
        <w:t>(</w:t>
      </w:r>
      <w:r w:rsidRPr="009907C1">
        <w:rPr>
          <w:rFonts w:ascii="新細明體" w:hAnsi="新細明體" w:hint="eastAsia"/>
          <w:color w:val="FF0000"/>
          <w:sz w:val="22"/>
        </w:rPr>
        <w:t>296字</w:t>
      </w:r>
      <w:r w:rsidRPr="009907C1">
        <w:rPr>
          <w:rFonts w:ascii="新細明體" w:hAnsi="新細明體"/>
          <w:color w:val="FF0000"/>
          <w:sz w:val="22"/>
        </w:rPr>
        <w:t>)</w:t>
      </w:r>
    </w:p>
    <w:p w:rsidR="008604D2" w:rsidRDefault="008604D2"/>
    <w:sectPr w:rsidR="008604D2" w:rsidSect="00090A4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04C57"/>
    <w:multiLevelType w:val="hybridMultilevel"/>
    <w:tmpl w:val="AFA4CC56"/>
    <w:lvl w:ilvl="0" w:tplc="F174902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11B4AC8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25A2210"/>
    <w:multiLevelType w:val="hybridMultilevel"/>
    <w:tmpl w:val="F8C07534"/>
    <w:lvl w:ilvl="0" w:tplc="B8C286EA">
      <w:start w:val="19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24D0DC7"/>
    <w:multiLevelType w:val="hybridMultilevel"/>
    <w:tmpl w:val="935A8434"/>
    <w:lvl w:ilvl="0" w:tplc="773E1E66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40F63A9"/>
    <w:multiLevelType w:val="hybridMultilevel"/>
    <w:tmpl w:val="1040AD6A"/>
    <w:lvl w:ilvl="0" w:tplc="8E8280F6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A40"/>
    <w:rsid w:val="00090A40"/>
    <w:rsid w:val="0086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A4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A40"/>
    <w:pPr>
      <w:ind w:leftChars="200" w:left="48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A4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A40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2015-10-02T06:56:00Z</dcterms:created>
  <dcterms:modified xsi:type="dcterms:W3CDTF">2015-10-02T06:57:00Z</dcterms:modified>
</cp:coreProperties>
</file>